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3739" w14:textId="7946E449" w:rsidR="00227D76" w:rsidRDefault="00872DC7" w:rsidP="208842ED">
      <w:pPr>
        <w:rPr>
          <w:b/>
          <w:bCs/>
          <w:color w:val="ED7D31" w:themeColor="accent2"/>
        </w:rPr>
      </w:pPr>
      <w:r>
        <w:rPr>
          <w:noProof/>
        </w:rPr>
        <w:drawing>
          <wp:anchor distT="0" distB="0" distL="114300" distR="114300" simplePos="0" relativeHeight="251658245" behindDoc="1" locked="0" layoutInCell="1" allowOverlap="1" wp14:anchorId="7CED19C0" wp14:editId="02281CA7">
            <wp:simplePos x="0" y="0"/>
            <wp:positionH relativeFrom="column">
              <wp:posOffset>3402127</wp:posOffset>
            </wp:positionH>
            <wp:positionV relativeFrom="paragraph">
              <wp:posOffset>-409855</wp:posOffset>
            </wp:positionV>
            <wp:extent cx="2978785" cy="806450"/>
            <wp:effectExtent l="0" t="0" r="0" b="0"/>
            <wp:wrapNone/>
            <wp:docPr id="44551783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8785" cy="806450"/>
                    </a:xfrm>
                    <a:prstGeom prst="rect">
                      <a:avLst/>
                    </a:prstGeom>
                    <a:noFill/>
                  </pic:spPr>
                </pic:pic>
              </a:graphicData>
            </a:graphic>
            <wp14:sizeRelH relativeFrom="margin">
              <wp14:pctWidth>0</wp14:pctWidth>
            </wp14:sizeRelH>
            <wp14:sizeRelV relativeFrom="margin">
              <wp14:pctHeight>0</wp14:pctHeight>
            </wp14:sizeRelV>
          </wp:anchor>
        </w:drawing>
      </w:r>
      <w:r w:rsidRPr="000248F6">
        <w:rPr>
          <w:noProof/>
          <w:color w:val="6ABE93"/>
          <w:sz w:val="21"/>
          <w:szCs w:val="32"/>
          <w:lang w:eastAsia="nl-NL"/>
        </w:rPr>
        <mc:AlternateContent>
          <mc:Choice Requires="wps">
            <w:drawing>
              <wp:anchor distT="0" distB="0" distL="114300" distR="114300" simplePos="0" relativeHeight="251658243" behindDoc="0" locked="0" layoutInCell="1" allowOverlap="1" wp14:anchorId="63F895B7" wp14:editId="52946A17">
                <wp:simplePos x="0" y="0"/>
                <wp:positionH relativeFrom="margin">
                  <wp:posOffset>-397510</wp:posOffset>
                </wp:positionH>
                <wp:positionV relativeFrom="page">
                  <wp:posOffset>3406140</wp:posOffset>
                </wp:positionV>
                <wp:extent cx="6743700" cy="5967095"/>
                <wp:effectExtent l="0" t="0" r="0" b="0"/>
                <wp:wrapNone/>
                <wp:docPr id="9" name="Tekstvak 9"/>
                <wp:cNvGraphicFramePr/>
                <a:graphic xmlns:a="http://schemas.openxmlformats.org/drawingml/2006/main">
                  <a:graphicData uri="http://schemas.microsoft.com/office/word/2010/wordprocessingShape">
                    <wps:wsp>
                      <wps:cNvSpPr txBox="1"/>
                      <wps:spPr>
                        <a:xfrm>
                          <a:off x="0" y="0"/>
                          <a:ext cx="6743700" cy="5967095"/>
                        </a:xfrm>
                        <a:prstGeom prst="rect">
                          <a:avLst/>
                        </a:prstGeom>
                        <a:noFill/>
                        <a:ln w="6350">
                          <a:noFill/>
                        </a:ln>
                      </wps:spPr>
                      <wps:txbx>
                        <w:txbxContent>
                          <w:p w14:paraId="2CE177DA" w14:textId="77777777" w:rsidR="00F2666C" w:rsidRDefault="00F2666C" w:rsidP="004435E4">
                            <w:pPr>
                              <w:tabs>
                                <w:tab w:val="left" w:pos="142"/>
                              </w:tabs>
                              <w:jc w:val="left"/>
                              <w:rPr>
                                <w:b/>
                                <w:color w:val="FFFFFF" w:themeColor="background1"/>
                                <w:sz w:val="56"/>
                                <w:szCs w:val="56"/>
                              </w:rPr>
                            </w:pPr>
                          </w:p>
                          <w:p w14:paraId="60BFA5BC" w14:textId="6C43E904" w:rsidR="00F2666C" w:rsidRPr="00EA3FA3" w:rsidRDefault="00F2666C" w:rsidP="004435E4">
                            <w:pPr>
                              <w:tabs>
                                <w:tab w:val="left" w:pos="142"/>
                              </w:tabs>
                              <w:jc w:val="left"/>
                              <w:rPr>
                                <w:b/>
                                <w:color w:val="FFFFFF" w:themeColor="background1"/>
                                <w:sz w:val="72"/>
                                <w:szCs w:val="72"/>
                              </w:rPr>
                            </w:pPr>
                            <w:r w:rsidRPr="00EA3FA3">
                              <w:rPr>
                                <w:b/>
                                <w:color w:val="FFFFFF" w:themeColor="background1"/>
                                <w:sz w:val="72"/>
                                <w:szCs w:val="72"/>
                              </w:rPr>
                              <w:t>CO</w:t>
                            </w:r>
                            <w:r w:rsidRPr="00EA3FA3">
                              <w:rPr>
                                <w:b/>
                                <w:color w:val="FFFFFF" w:themeColor="background1"/>
                                <w:sz w:val="72"/>
                                <w:szCs w:val="72"/>
                                <w:vertAlign w:val="subscript"/>
                              </w:rPr>
                              <w:t>2</w:t>
                            </w:r>
                            <w:r w:rsidRPr="00EA3FA3">
                              <w:rPr>
                                <w:b/>
                                <w:color w:val="FFFFFF" w:themeColor="background1"/>
                                <w:sz w:val="72"/>
                                <w:szCs w:val="72"/>
                              </w:rPr>
                              <w:t>-Prestatieladde</w:t>
                            </w:r>
                            <w:r w:rsidR="00BB21E0">
                              <w:rPr>
                                <w:b/>
                                <w:color w:val="FFFFFF" w:themeColor="background1"/>
                                <w:sz w:val="72"/>
                                <w:szCs w:val="72"/>
                              </w:rPr>
                              <w:t>r N5</w:t>
                            </w:r>
                          </w:p>
                          <w:p w14:paraId="3345F856" w14:textId="356504A2" w:rsidR="004435E4" w:rsidRPr="00EA3FA3" w:rsidRDefault="001C3774" w:rsidP="004435E4">
                            <w:pPr>
                              <w:tabs>
                                <w:tab w:val="left" w:pos="142"/>
                              </w:tabs>
                              <w:jc w:val="left"/>
                              <w:rPr>
                                <w:b/>
                                <w:color w:val="FFFFFF" w:themeColor="background1"/>
                                <w:sz w:val="40"/>
                                <w:szCs w:val="40"/>
                              </w:rPr>
                            </w:pPr>
                            <w:r>
                              <w:rPr>
                                <w:b/>
                                <w:color w:val="FFFFFF" w:themeColor="background1"/>
                                <w:sz w:val="40"/>
                                <w:szCs w:val="40"/>
                              </w:rPr>
                              <w:t>Verslag</w:t>
                            </w:r>
                            <w:r w:rsidR="00EB6943" w:rsidRPr="00EA3FA3">
                              <w:rPr>
                                <w:b/>
                                <w:color w:val="FFFFFF" w:themeColor="background1"/>
                                <w:sz w:val="40"/>
                                <w:szCs w:val="40"/>
                              </w:rPr>
                              <w:t xml:space="preserve"> </w:t>
                            </w:r>
                            <w:r w:rsidR="002511A0">
                              <w:rPr>
                                <w:b/>
                                <w:color w:val="FFFFFF" w:themeColor="background1"/>
                                <w:sz w:val="40"/>
                                <w:szCs w:val="40"/>
                              </w:rPr>
                              <w:t xml:space="preserve">Footprint jaar </w:t>
                            </w:r>
                            <w:r w:rsidR="004435E4" w:rsidRPr="00EA3FA3">
                              <w:rPr>
                                <w:b/>
                                <w:color w:val="FFFFFF" w:themeColor="background1"/>
                                <w:sz w:val="40"/>
                                <w:szCs w:val="40"/>
                              </w:rPr>
                              <w:t>2</w:t>
                            </w:r>
                            <w:r w:rsidR="00BB21E0">
                              <w:rPr>
                                <w:b/>
                                <w:color w:val="FFFFFF" w:themeColor="background1"/>
                                <w:sz w:val="40"/>
                                <w:szCs w:val="40"/>
                              </w:rPr>
                              <w:t>02</w:t>
                            </w:r>
                            <w:r w:rsidR="007B41E2">
                              <w:rPr>
                                <w:b/>
                                <w:color w:val="FFFFFF" w:themeColor="background1"/>
                                <w:sz w:val="40"/>
                                <w:szCs w:val="40"/>
                              </w:rPr>
                              <w:t>5</w:t>
                            </w:r>
                          </w:p>
                          <w:p w14:paraId="1E54C952" w14:textId="77777777" w:rsidR="004435E4" w:rsidRPr="00EA3FA3" w:rsidRDefault="004435E4" w:rsidP="004435E4">
                            <w:pPr>
                              <w:jc w:val="left"/>
                              <w:rPr>
                                <w:b/>
                                <w:color w:val="FFFFFF" w:themeColor="background1"/>
                              </w:rPr>
                            </w:pPr>
                          </w:p>
                          <w:p w14:paraId="35BC0C9B" w14:textId="77777777" w:rsidR="004435E4" w:rsidRPr="00EA3FA3" w:rsidRDefault="004435E4" w:rsidP="004435E4">
                            <w:pPr>
                              <w:jc w:val="left"/>
                              <w:rPr>
                                <w:b/>
                                <w:color w:val="FFFFFF" w:themeColor="background1"/>
                              </w:rPr>
                            </w:pPr>
                          </w:p>
                          <w:p w14:paraId="0A3C6A88" w14:textId="77777777" w:rsidR="004435E4" w:rsidRPr="00EA3FA3" w:rsidRDefault="004435E4" w:rsidP="004435E4">
                            <w:pPr>
                              <w:jc w:val="left"/>
                              <w:rPr>
                                <w:b/>
                                <w:color w:val="FFFFFF" w:themeColor="background1"/>
                              </w:rPr>
                            </w:pPr>
                          </w:p>
                          <w:p w14:paraId="4ACF9D2D" w14:textId="77777777" w:rsidR="004435E4" w:rsidRPr="00EA3FA3" w:rsidRDefault="004435E4" w:rsidP="004435E4">
                            <w:pPr>
                              <w:jc w:val="left"/>
                              <w:rPr>
                                <w:b/>
                                <w:color w:val="FFFFFF" w:themeColor="background1"/>
                              </w:rPr>
                            </w:pPr>
                          </w:p>
                          <w:p w14:paraId="19CDA2EA" w14:textId="77777777" w:rsidR="004435E4" w:rsidRPr="00EA3FA3" w:rsidRDefault="004435E4" w:rsidP="004435E4">
                            <w:pPr>
                              <w:jc w:val="left"/>
                              <w:rPr>
                                <w:b/>
                                <w:color w:val="FFFFFF" w:themeColor="background1"/>
                              </w:rPr>
                            </w:pPr>
                          </w:p>
                          <w:p w14:paraId="00EF9D24" w14:textId="77777777" w:rsidR="004435E4" w:rsidRPr="00EA3FA3" w:rsidRDefault="004435E4" w:rsidP="004435E4">
                            <w:pPr>
                              <w:jc w:val="left"/>
                              <w:rPr>
                                <w:b/>
                                <w:color w:val="FFFFFF" w:themeColor="background1"/>
                              </w:rPr>
                            </w:pPr>
                          </w:p>
                          <w:p w14:paraId="036C0F0D" w14:textId="77777777" w:rsidR="004435E4" w:rsidRPr="00EA3FA3" w:rsidRDefault="004435E4" w:rsidP="004435E4">
                            <w:pPr>
                              <w:jc w:val="left"/>
                              <w:rPr>
                                <w:b/>
                                <w:color w:val="FFFFFF" w:themeColor="background1"/>
                                <w:sz w:val="18"/>
                                <w:szCs w:val="22"/>
                              </w:rPr>
                            </w:pPr>
                          </w:p>
                          <w:p w14:paraId="638A1633" w14:textId="0333E8C1" w:rsidR="004435E4" w:rsidRPr="005D5E95" w:rsidRDefault="004435E4" w:rsidP="004435E4">
                            <w:pPr>
                              <w:jc w:val="left"/>
                              <w:rPr>
                                <w:b/>
                                <w:bCs/>
                                <w:color w:val="FFFFFF" w:themeColor="background1"/>
                                <w:sz w:val="22"/>
                                <w:szCs w:val="22"/>
                              </w:rPr>
                            </w:pPr>
                            <w:r w:rsidRPr="00194893">
                              <w:rPr>
                                <w:b/>
                                <w:color w:val="FFFFFF" w:themeColor="background1"/>
                                <w:sz w:val="22"/>
                                <w:szCs w:val="22"/>
                              </w:rPr>
                              <w:t>Organisatie:</w:t>
                            </w:r>
                            <w:r w:rsidRPr="00194893">
                              <w:rPr>
                                <w:color w:val="FFFFFF" w:themeColor="background1"/>
                                <w:sz w:val="22"/>
                                <w:szCs w:val="22"/>
                              </w:rPr>
                              <w:tab/>
                            </w:r>
                            <w:r w:rsidRPr="005D5E95">
                              <w:rPr>
                                <w:color w:val="FFFFFF" w:themeColor="background1"/>
                                <w:sz w:val="22"/>
                                <w:szCs w:val="22"/>
                              </w:rPr>
                              <w:tab/>
                            </w:r>
                            <w:r w:rsidR="007979D5">
                              <w:rPr>
                                <w:color w:val="FFFFFF" w:themeColor="background1"/>
                                <w:sz w:val="22"/>
                                <w:szCs w:val="22"/>
                              </w:rPr>
                              <w:t>Finovi B.V.</w:t>
                            </w:r>
                            <w:r w:rsidR="005D5E95" w:rsidRPr="005D5E95">
                              <w:rPr>
                                <w:color w:val="FFFFFF" w:themeColor="background1"/>
                                <w:sz w:val="22"/>
                                <w:szCs w:val="22"/>
                              </w:rPr>
                              <w:t xml:space="preserve"> </w:t>
                            </w:r>
                            <w:r w:rsidRPr="005D5E95">
                              <w:rPr>
                                <w:b/>
                                <w:bCs/>
                                <w:color w:val="FFFFFF" w:themeColor="background1"/>
                                <w:sz w:val="22"/>
                                <w:szCs w:val="22"/>
                              </w:rPr>
                              <w:t xml:space="preserve"> </w:t>
                            </w:r>
                          </w:p>
                          <w:p w14:paraId="43829BDE" w14:textId="0C1475B6" w:rsidR="004435E4" w:rsidRPr="005D5E95" w:rsidRDefault="004435E4" w:rsidP="004435E4">
                            <w:pPr>
                              <w:jc w:val="left"/>
                              <w:rPr>
                                <w:bCs/>
                                <w:color w:val="FFFFFF" w:themeColor="background1"/>
                                <w:sz w:val="22"/>
                                <w:szCs w:val="22"/>
                              </w:rPr>
                            </w:pPr>
                            <w:r w:rsidRPr="005D5E95">
                              <w:rPr>
                                <w:b/>
                                <w:color w:val="FFFFFF" w:themeColor="background1"/>
                                <w:sz w:val="22"/>
                                <w:szCs w:val="22"/>
                              </w:rPr>
                              <w:t>Contactpersoon:</w:t>
                            </w:r>
                            <w:r w:rsidRPr="005D5E95">
                              <w:rPr>
                                <w:b/>
                                <w:color w:val="FFFFFF" w:themeColor="background1"/>
                                <w:sz w:val="22"/>
                                <w:szCs w:val="22"/>
                              </w:rPr>
                              <w:tab/>
                            </w:r>
                            <w:r w:rsidRPr="005D5E95">
                              <w:rPr>
                                <w:b/>
                                <w:color w:val="FFFFFF" w:themeColor="background1"/>
                                <w:sz w:val="22"/>
                                <w:szCs w:val="22"/>
                              </w:rPr>
                              <w:tab/>
                            </w:r>
                            <w:r w:rsidR="005D5E95" w:rsidRPr="005D5E95">
                              <w:rPr>
                                <w:bCs/>
                                <w:color w:val="FFFFFF" w:themeColor="background1"/>
                                <w:sz w:val="22"/>
                                <w:szCs w:val="22"/>
                              </w:rPr>
                              <w:t>Jelmer Tiebosch</w:t>
                            </w:r>
                          </w:p>
                          <w:p w14:paraId="04A27F79" w14:textId="77777777" w:rsidR="004435E4" w:rsidRPr="005D5E95" w:rsidRDefault="004435E4" w:rsidP="004435E4">
                            <w:pPr>
                              <w:jc w:val="left"/>
                              <w:rPr>
                                <w:color w:val="FFFFFF" w:themeColor="background1"/>
                                <w:sz w:val="22"/>
                                <w:szCs w:val="22"/>
                              </w:rPr>
                            </w:pPr>
                          </w:p>
                          <w:p w14:paraId="6901070B" w14:textId="1B890513" w:rsidR="004435E4" w:rsidRPr="005D5E95" w:rsidRDefault="004435E4" w:rsidP="004435E4">
                            <w:pPr>
                              <w:jc w:val="left"/>
                              <w:rPr>
                                <w:color w:val="FFFFFF" w:themeColor="background1"/>
                                <w:sz w:val="22"/>
                                <w:szCs w:val="22"/>
                              </w:rPr>
                            </w:pPr>
                            <w:r w:rsidRPr="005D5E95">
                              <w:rPr>
                                <w:b/>
                                <w:bCs/>
                                <w:color w:val="FFFFFF" w:themeColor="background1"/>
                                <w:sz w:val="22"/>
                                <w:szCs w:val="22"/>
                              </w:rPr>
                              <w:t>Adviseur:</w:t>
                            </w:r>
                            <w:r w:rsidRPr="005D5E95">
                              <w:rPr>
                                <w:color w:val="FFFFFF" w:themeColor="background1"/>
                                <w:sz w:val="22"/>
                                <w:szCs w:val="22"/>
                              </w:rPr>
                              <w:tab/>
                            </w:r>
                            <w:r w:rsidRPr="005D5E95">
                              <w:rPr>
                                <w:color w:val="FFFFFF" w:themeColor="background1"/>
                                <w:sz w:val="22"/>
                                <w:szCs w:val="22"/>
                              </w:rPr>
                              <w:tab/>
                            </w:r>
                            <w:r w:rsidRPr="005D5E95">
                              <w:rPr>
                                <w:color w:val="FFFFFF" w:themeColor="background1"/>
                                <w:sz w:val="22"/>
                                <w:szCs w:val="22"/>
                              </w:rPr>
                              <w:tab/>
                            </w:r>
                            <w:r w:rsidR="005D5E95" w:rsidRPr="005D5E95">
                              <w:rPr>
                                <w:color w:val="FFFFFF" w:themeColor="background1"/>
                                <w:sz w:val="22"/>
                                <w:szCs w:val="22"/>
                              </w:rPr>
                              <w:t>Guus de Jong</w:t>
                            </w:r>
                          </w:p>
                          <w:p w14:paraId="677812C7" w14:textId="77777777" w:rsidR="004435E4" w:rsidRPr="00FC493B" w:rsidRDefault="004435E4" w:rsidP="004435E4">
                            <w:pPr>
                              <w:jc w:val="left"/>
                              <w:rPr>
                                <w:color w:val="FFFFFF" w:themeColor="background1"/>
                              </w:rPr>
                            </w:pPr>
                            <w:r w:rsidRPr="00194893">
                              <w:rPr>
                                <w:b/>
                                <w:bCs/>
                                <w:color w:val="FFFFFF" w:themeColor="background1"/>
                                <w:sz w:val="22"/>
                                <w:szCs w:val="22"/>
                              </w:rPr>
                              <w:t>Adviesbureau:</w:t>
                            </w:r>
                            <w:r w:rsidRPr="00FC493B">
                              <w:rPr>
                                <w:color w:val="FFFFFF" w:themeColor="background1"/>
                              </w:rPr>
                              <w:tab/>
                            </w:r>
                            <w:r w:rsidRPr="00FC493B">
                              <w:rPr>
                                <w:color w:val="FFFFFF" w:themeColor="background1"/>
                              </w:rPr>
                              <w:tab/>
                            </w:r>
                            <w:r w:rsidRPr="00194893">
                              <w:rPr>
                                <w:color w:val="FFFFFF" w:themeColor="background1"/>
                                <w:sz w:val="22"/>
                                <w:szCs w:val="28"/>
                              </w:rPr>
                              <w:t>De Duurzame Adviseurs</w:t>
                            </w:r>
                          </w:p>
                          <w:p w14:paraId="047537B6" w14:textId="77777777" w:rsidR="004435E4" w:rsidRDefault="004435E4" w:rsidP="004435E4">
                            <w:pPr>
                              <w:jc w:val="left"/>
                              <w:rPr>
                                <w:color w:val="FFFFFF" w:themeColor="background1"/>
                              </w:rPr>
                            </w:pPr>
                          </w:p>
                          <w:p w14:paraId="1FE6E54F" w14:textId="77777777" w:rsidR="00C501D6" w:rsidRDefault="00C501D6" w:rsidP="004435E4">
                            <w:pPr>
                              <w:jc w:val="left"/>
                              <w:rPr>
                                <w:color w:val="FFFFFF" w:themeColor="background1"/>
                              </w:rPr>
                            </w:pPr>
                          </w:p>
                          <w:p w14:paraId="77F7D745" w14:textId="77777777" w:rsidR="00C501D6" w:rsidRDefault="00C501D6" w:rsidP="004435E4">
                            <w:pPr>
                              <w:jc w:val="left"/>
                              <w:rPr>
                                <w:color w:val="FFFFFF" w:themeColor="background1"/>
                              </w:rPr>
                            </w:pPr>
                          </w:p>
                          <w:p w14:paraId="7A0A6E85" w14:textId="77777777" w:rsidR="00C501D6" w:rsidRPr="00FC493B" w:rsidRDefault="00C501D6" w:rsidP="004435E4">
                            <w:pPr>
                              <w:jc w:val="left"/>
                              <w:rPr>
                                <w:color w:val="FFFFFF" w:themeColor="background1"/>
                              </w:rPr>
                            </w:pPr>
                          </w:p>
                          <w:p w14:paraId="7D3ED947" w14:textId="73167BC6" w:rsidR="004435E4" w:rsidRPr="00C501D6" w:rsidRDefault="002511A0" w:rsidP="004435E4">
                            <w:pPr>
                              <w:jc w:val="left"/>
                              <w:rPr>
                                <w:color w:val="FFFFFF" w:themeColor="background1"/>
                                <w:sz w:val="22"/>
                                <w:szCs w:val="28"/>
                              </w:rPr>
                            </w:pPr>
                            <w:r>
                              <w:rPr>
                                <w:b/>
                                <w:bCs/>
                                <w:color w:val="FFFFFF" w:themeColor="background1"/>
                                <w:sz w:val="22"/>
                                <w:szCs w:val="28"/>
                              </w:rPr>
                              <w:t xml:space="preserve">Datum laatste bewerking: </w:t>
                            </w:r>
                            <w:r w:rsidRPr="00C501D6">
                              <w:rPr>
                                <w:color w:val="FFFFFF" w:themeColor="background1"/>
                                <w:sz w:val="22"/>
                                <w:szCs w:val="28"/>
                              </w:rPr>
                              <w:fldChar w:fldCharType="begin"/>
                            </w:r>
                            <w:r w:rsidRPr="00C501D6">
                              <w:rPr>
                                <w:color w:val="FFFFFF" w:themeColor="background1"/>
                                <w:sz w:val="22"/>
                                <w:szCs w:val="28"/>
                              </w:rPr>
                              <w:instrText xml:space="preserve"> TIME \@ "d-M-yyyy" </w:instrText>
                            </w:r>
                            <w:r w:rsidRPr="00C501D6">
                              <w:rPr>
                                <w:color w:val="FFFFFF" w:themeColor="background1"/>
                                <w:sz w:val="22"/>
                                <w:szCs w:val="28"/>
                              </w:rPr>
                              <w:fldChar w:fldCharType="separate"/>
                            </w:r>
                            <w:r w:rsidR="00010583">
                              <w:rPr>
                                <w:noProof/>
                                <w:color w:val="FFFFFF" w:themeColor="background1"/>
                                <w:sz w:val="22"/>
                                <w:szCs w:val="28"/>
                              </w:rPr>
                              <w:t>11-6-2026</w:t>
                            </w:r>
                            <w:r w:rsidRPr="00C501D6">
                              <w:rPr>
                                <w:color w:val="FFFFFF" w:themeColor="background1"/>
                                <w:sz w:val="22"/>
                                <w:szCs w:val="28"/>
                              </w:rPr>
                              <w:fldChar w:fldCharType="end"/>
                            </w:r>
                          </w:p>
                          <w:p w14:paraId="6F226776" w14:textId="77777777" w:rsidR="004435E4" w:rsidRPr="005D5E95" w:rsidRDefault="004435E4" w:rsidP="004435E4">
                            <w:pPr>
                              <w:rPr>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895B7" id="_x0000_t202" coordsize="21600,21600" o:spt="202" path="m,l,21600r21600,l21600,xe">
                <v:stroke joinstyle="miter"/>
                <v:path gradientshapeok="t" o:connecttype="rect"/>
              </v:shapetype>
              <v:shape id="Tekstvak 9" o:spid="_x0000_s1026" type="#_x0000_t202" style="position:absolute;left:0;text-align:left;margin-left:-31.3pt;margin-top:268.2pt;width:531pt;height:469.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TUGA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" filled="f" stroked="f" strokeweight=".5pt">
                <v:textbox>
                  <w:txbxContent>
                    <w:p w14:paraId="2CE177DA" w14:textId="77777777" w:rsidR="00F2666C" w:rsidRDefault="00F2666C" w:rsidP="004435E4">
                      <w:pPr>
                        <w:tabs>
                          <w:tab w:val="left" w:pos="142"/>
                        </w:tabs>
                        <w:jc w:val="left"/>
                        <w:rPr>
                          <w:b/>
                          <w:color w:val="FFFFFF" w:themeColor="background1"/>
                          <w:sz w:val="56"/>
                          <w:szCs w:val="56"/>
                        </w:rPr>
                      </w:pPr>
                    </w:p>
                    <w:p w14:paraId="60BFA5BC" w14:textId="6C43E904" w:rsidR="00F2666C" w:rsidRPr="00EA3FA3" w:rsidRDefault="00F2666C" w:rsidP="004435E4">
                      <w:pPr>
                        <w:tabs>
                          <w:tab w:val="left" w:pos="142"/>
                        </w:tabs>
                        <w:jc w:val="left"/>
                        <w:rPr>
                          <w:b/>
                          <w:color w:val="FFFFFF" w:themeColor="background1"/>
                          <w:sz w:val="72"/>
                          <w:szCs w:val="72"/>
                        </w:rPr>
                      </w:pPr>
                      <w:r w:rsidRPr="00EA3FA3">
                        <w:rPr>
                          <w:b/>
                          <w:color w:val="FFFFFF" w:themeColor="background1"/>
                          <w:sz w:val="72"/>
                          <w:szCs w:val="72"/>
                        </w:rPr>
                        <w:t>CO</w:t>
                      </w:r>
                      <w:r w:rsidRPr="00EA3FA3">
                        <w:rPr>
                          <w:b/>
                          <w:color w:val="FFFFFF" w:themeColor="background1"/>
                          <w:sz w:val="72"/>
                          <w:szCs w:val="72"/>
                          <w:vertAlign w:val="subscript"/>
                        </w:rPr>
                        <w:t>2</w:t>
                      </w:r>
                      <w:r w:rsidRPr="00EA3FA3">
                        <w:rPr>
                          <w:b/>
                          <w:color w:val="FFFFFF" w:themeColor="background1"/>
                          <w:sz w:val="72"/>
                          <w:szCs w:val="72"/>
                        </w:rPr>
                        <w:t>-Prestatieladde</w:t>
                      </w:r>
                      <w:r w:rsidR="00BB21E0">
                        <w:rPr>
                          <w:b/>
                          <w:color w:val="FFFFFF" w:themeColor="background1"/>
                          <w:sz w:val="72"/>
                          <w:szCs w:val="72"/>
                        </w:rPr>
                        <w:t>r N5</w:t>
                      </w:r>
                    </w:p>
                    <w:p w14:paraId="3345F856" w14:textId="356504A2" w:rsidR="004435E4" w:rsidRPr="00EA3FA3" w:rsidRDefault="001C3774" w:rsidP="004435E4">
                      <w:pPr>
                        <w:tabs>
                          <w:tab w:val="left" w:pos="142"/>
                        </w:tabs>
                        <w:jc w:val="left"/>
                        <w:rPr>
                          <w:b/>
                          <w:color w:val="FFFFFF" w:themeColor="background1"/>
                          <w:sz w:val="40"/>
                          <w:szCs w:val="40"/>
                        </w:rPr>
                      </w:pPr>
                      <w:r>
                        <w:rPr>
                          <w:b/>
                          <w:color w:val="FFFFFF" w:themeColor="background1"/>
                          <w:sz w:val="40"/>
                          <w:szCs w:val="40"/>
                        </w:rPr>
                        <w:t>Verslag</w:t>
                      </w:r>
                      <w:r w:rsidR="00EB6943" w:rsidRPr="00EA3FA3">
                        <w:rPr>
                          <w:b/>
                          <w:color w:val="FFFFFF" w:themeColor="background1"/>
                          <w:sz w:val="40"/>
                          <w:szCs w:val="40"/>
                        </w:rPr>
                        <w:t xml:space="preserve"> </w:t>
                      </w:r>
                      <w:r w:rsidR="002511A0">
                        <w:rPr>
                          <w:b/>
                          <w:color w:val="FFFFFF" w:themeColor="background1"/>
                          <w:sz w:val="40"/>
                          <w:szCs w:val="40"/>
                        </w:rPr>
                        <w:t xml:space="preserve">Footprint jaar </w:t>
                      </w:r>
                      <w:r w:rsidR="004435E4" w:rsidRPr="00EA3FA3">
                        <w:rPr>
                          <w:b/>
                          <w:color w:val="FFFFFF" w:themeColor="background1"/>
                          <w:sz w:val="40"/>
                          <w:szCs w:val="40"/>
                        </w:rPr>
                        <w:t>2</w:t>
                      </w:r>
                      <w:r w:rsidR="00BB21E0">
                        <w:rPr>
                          <w:b/>
                          <w:color w:val="FFFFFF" w:themeColor="background1"/>
                          <w:sz w:val="40"/>
                          <w:szCs w:val="40"/>
                        </w:rPr>
                        <w:t>02</w:t>
                      </w:r>
                      <w:r w:rsidR="007B41E2">
                        <w:rPr>
                          <w:b/>
                          <w:color w:val="FFFFFF" w:themeColor="background1"/>
                          <w:sz w:val="40"/>
                          <w:szCs w:val="40"/>
                        </w:rPr>
                        <w:t>5</w:t>
                      </w:r>
                    </w:p>
                    <w:p w14:paraId="1E54C952" w14:textId="77777777" w:rsidR="004435E4" w:rsidRPr="00EA3FA3" w:rsidRDefault="004435E4" w:rsidP="004435E4">
                      <w:pPr>
                        <w:jc w:val="left"/>
                        <w:rPr>
                          <w:b/>
                          <w:color w:val="FFFFFF" w:themeColor="background1"/>
                        </w:rPr>
                      </w:pPr>
                    </w:p>
                    <w:p w14:paraId="35BC0C9B" w14:textId="77777777" w:rsidR="004435E4" w:rsidRPr="00EA3FA3" w:rsidRDefault="004435E4" w:rsidP="004435E4">
                      <w:pPr>
                        <w:jc w:val="left"/>
                        <w:rPr>
                          <w:b/>
                          <w:color w:val="FFFFFF" w:themeColor="background1"/>
                        </w:rPr>
                      </w:pPr>
                    </w:p>
                    <w:p w14:paraId="0A3C6A88" w14:textId="77777777" w:rsidR="004435E4" w:rsidRPr="00EA3FA3" w:rsidRDefault="004435E4" w:rsidP="004435E4">
                      <w:pPr>
                        <w:jc w:val="left"/>
                        <w:rPr>
                          <w:b/>
                          <w:color w:val="FFFFFF" w:themeColor="background1"/>
                        </w:rPr>
                      </w:pPr>
                    </w:p>
                    <w:p w14:paraId="4ACF9D2D" w14:textId="77777777" w:rsidR="004435E4" w:rsidRPr="00EA3FA3" w:rsidRDefault="004435E4" w:rsidP="004435E4">
                      <w:pPr>
                        <w:jc w:val="left"/>
                        <w:rPr>
                          <w:b/>
                          <w:color w:val="FFFFFF" w:themeColor="background1"/>
                        </w:rPr>
                      </w:pPr>
                    </w:p>
                    <w:p w14:paraId="19CDA2EA" w14:textId="77777777" w:rsidR="004435E4" w:rsidRPr="00EA3FA3" w:rsidRDefault="004435E4" w:rsidP="004435E4">
                      <w:pPr>
                        <w:jc w:val="left"/>
                        <w:rPr>
                          <w:b/>
                          <w:color w:val="FFFFFF" w:themeColor="background1"/>
                        </w:rPr>
                      </w:pPr>
                    </w:p>
                    <w:p w14:paraId="00EF9D24" w14:textId="77777777" w:rsidR="004435E4" w:rsidRPr="00EA3FA3" w:rsidRDefault="004435E4" w:rsidP="004435E4">
                      <w:pPr>
                        <w:jc w:val="left"/>
                        <w:rPr>
                          <w:b/>
                          <w:color w:val="FFFFFF" w:themeColor="background1"/>
                        </w:rPr>
                      </w:pPr>
                    </w:p>
                    <w:p w14:paraId="036C0F0D" w14:textId="77777777" w:rsidR="004435E4" w:rsidRPr="00EA3FA3" w:rsidRDefault="004435E4" w:rsidP="004435E4">
                      <w:pPr>
                        <w:jc w:val="left"/>
                        <w:rPr>
                          <w:b/>
                          <w:color w:val="FFFFFF" w:themeColor="background1"/>
                          <w:sz w:val="18"/>
                          <w:szCs w:val="22"/>
                        </w:rPr>
                      </w:pPr>
                    </w:p>
                    <w:p w14:paraId="638A1633" w14:textId="0333E8C1" w:rsidR="004435E4" w:rsidRPr="005D5E95" w:rsidRDefault="004435E4" w:rsidP="004435E4">
                      <w:pPr>
                        <w:jc w:val="left"/>
                        <w:rPr>
                          <w:b/>
                          <w:bCs/>
                          <w:color w:val="FFFFFF" w:themeColor="background1"/>
                          <w:sz w:val="22"/>
                          <w:szCs w:val="22"/>
                        </w:rPr>
                      </w:pPr>
                      <w:r w:rsidRPr="00194893">
                        <w:rPr>
                          <w:b/>
                          <w:color w:val="FFFFFF" w:themeColor="background1"/>
                          <w:sz w:val="22"/>
                          <w:szCs w:val="22"/>
                        </w:rPr>
                        <w:t>Organisatie:</w:t>
                      </w:r>
                      <w:r w:rsidRPr="00194893">
                        <w:rPr>
                          <w:color w:val="FFFFFF" w:themeColor="background1"/>
                          <w:sz w:val="22"/>
                          <w:szCs w:val="22"/>
                        </w:rPr>
                        <w:tab/>
                      </w:r>
                      <w:r w:rsidRPr="005D5E95">
                        <w:rPr>
                          <w:color w:val="FFFFFF" w:themeColor="background1"/>
                          <w:sz w:val="22"/>
                          <w:szCs w:val="22"/>
                        </w:rPr>
                        <w:tab/>
                      </w:r>
                      <w:r w:rsidR="007979D5">
                        <w:rPr>
                          <w:color w:val="FFFFFF" w:themeColor="background1"/>
                          <w:sz w:val="22"/>
                          <w:szCs w:val="22"/>
                        </w:rPr>
                        <w:t>Finovi B.V.</w:t>
                      </w:r>
                      <w:r w:rsidR="005D5E95" w:rsidRPr="005D5E95">
                        <w:rPr>
                          <w:color w:val="FFFFFF" w:themeColor="background1"/>
                          <w:sz w:val="22"/>
                          <w:szCs w:val="22"/>
                        </w:rPr>
                        <w:t xml:space="preserve"> </w:t>
                      </w:r>
                      <w:r w:rsidRPr="005D5E95">
                        <w:rPr>
                          <w:b/>
                          <w:bCs/>
                          <w:color w:val="FFFFFF" w:themeColor="background1"/>
                          <w:sz w:val="22"/>
                          <w:szCs w:val="22"/>
                        </w:rPr>
                        <w:t xml:space="preserve"> </w:t>
                      </w:r>
                    </w:p>
                    <w:p w14:paraId="43829BDE" w14:textId="0C1475B6" w:rsidR="004435E4" w:rsidRPr="005D5E95" w:rsidRDefault="004435E4" w:rsidP="004435E4">
                      <w:pPr>
                        <w:jc w:val="left"/>
                        <w:rPr>
                          <w:bCs/>
                          <w:color w:val="FFFFFF" w:themeColor="background1"/>
                          <w:sz w:val="22"/>
                          <w:szCs w:val="22"/>
                        </w:rPr>
                      </w:pPr>
                      <w:r w:rsidRPr="005D5E95">
                        <w:rPr>
                          <w:b/>
                          <w:color w:val="FFFFFF" w:themeColor="background1"/>
                          <w:sz w:val="22"/>
                          <w:szCs w:val="22"/>
                        </w:rPr>
                        <w:t>Contactpersoon:</w:t>
                      </w:r>
                      <w:r w:rsidRPr="005D5E95">
                        <w:rPr>
                          <w:b/>
                          <w:color w:val="FFFFFF" w:themeColor="background1"/>
                          <w:sz w:val="22"/>
                          <w:szCs w:val="22"/>
                        </w:rPr>
                        <w:tab/>
                      </w:r>
                      <w:r w:rsidRPr="005D5E95">
                        <w:rPr>
                          <w:b/>
                          <w:color w:val="FFFFFF" w:themeColor="background1"/>
                          <w:sz w:val="22"/>
                          <w:szCs w:val="22"/>
                        </w:rPr>
                        <w:tab/>
                      </w:r>
                      <w:r w:rsidR="005D5E95" w:rsidRPr="005D5E95">
                        <w:rPr>
                          <w:bCs/>
                          <w:color w:val="FFFFFF" w:themeColor="background1"/>
                          <w:sz w:val="22"/>
                          <w:szCs w:val="22"/>
                        </w:rPr>
                        <w:t>Jelmer Tiebosch</w:t>
                      </w:r>
                    </w:p>
                    <w:p w14:paraId="04A27F79" w14:textId="77777777" w:rsidR="004435E4" w:rsidRPr="005D5E95" w:rsidRDefault="004435E4" w:rsidP="004435E4">
                      <w:pPr>
                        <w:jc w:val="left"/>
                        <w:rPr>
                          <w:color w:val="FFFFFF" w:themeColor="background1"/>
                          <w:sz w:val="22"/>
                          <w:szCs w:val="22"/>
                        </w:rPr>
                      </w:pPr>
                    </w:p>
                    <w:p w14:paraId="6901070B" w14:textId="1B890513" w:rsidR="004435E4" w:rsidRPr="005D5E95" w:rsidRDefault="004435E4" w:rsidP="004435E4">
                      <w:pPr>
                        <w:jc w:val="left"/>
                        <w:rPr>
                          <w:color w:val="FFFFFF" w:themeColor="background1"/>
                          <w:sz w:val="22"/>
                          <w:szCs w:val="22"/>
                        </w:rPr>
                      </w:pPr>
                      <w:r w:rsidRPr="005D5E95">
                        <w:rPr>
                          <w:b/>
                          <w:bCs/>
                          <w:color w:val="FFFFFF" w:themeColor="background1"/>
                          <w:sz w:val="22"/>
                          <w:szCs w:val="22"/>
                        </w:rPr>
                        <w:t>Adviseur:</w:t>
                      </w:r>
                      <w:r w:rsidRPr="005D5E95">
                        <w:rPr>
                          <w:color w:val="FFFFFF" w:themeColor="background1"/>
                          <w:sz w:val="22"/>
                          <w:szCs w:val="22"/>
                        </w:rPr>
                        <w:tab/>
                      </w:r>
                      <w:r w:rsidRPr="005D5E95">
                        <w:rPr>
                          <w:color w:val="FFFFFF" w:themeColor="background1"/>
                          <w:sz w:val="22"/>
                          <w:szCs w:val="22"/>
                        </w:rPr>
                        <w:tab/>
                      </w:r>
                      <w:r w:rsidRPr="005D5E95">
                        <w:rPr>
                          <w:color w:val="FFFFFF" w:themeColor="background1"/>
                          <w:sz w:val="22"/>
                          <w:szCs w:val="22"/>
                        </w:rPr>
                        <w:tab/>
                      </w:r>
                      <w:r w:rsidR="005D5E95" w:rsidRPr="005D5E95">
                        <w:rPr>
                          <w:color w:val="FFFFFF" w:themeColor="background1"/>
                          <w:sz w:val="22"/>
                          <w:szCs w:val="22"/>
                        </w:rPr>
                        <w:t>Guus de Jong</w:t>
                      </w:r>
                    </w:p>
                    <w:p w14:paraId="677812C7" w14:textId="77777777" w:rsidR="004435E4" w:rsidRPr="00FC493B" w:rsidRDefault="004435E4" w:rsidP="004435E4">
                      <w:pPr>
                        <w:jc w:val="left"/>
                        <w:rPr>
                          <w:color w:val="FFFFFF" w:themeColor="background1"/>
                        </w:rPr>
                      </w:pPr>
                      <w:r w:rsidRPr="00194893">
                        <w:rPr>
                          <w:b/>
                          <w:bCs/>
                          <w:color w:val="FFFFFF" w:themeColor="background1"/>
                          <w:sz w:val="22"/>
                          <w:szCs w:val="22"/>
                        </w:rPr>
                        <w:t>Adviesbureau:</w:t>
                      </w:r>
                      <w:r w:rsidRPr="00FC493B">
                        <w:rPr>
                          <w:color w:val="FFFFFF" w:themeColor="background1"/>
                        </w:rPr>
                        <w:tab/>
                      </w:r>
                      <w:r w:rsidRPr="00FC493B">
                        <w:rPr>
                          <w:color w:val="FFFFFF" w:themeColor="background1"/>
                        </w:rPr>
                        <w:tab/>
                      </w:r>
                      <w:r w:rsidRPr="00194893">
                        <w:rPr>
                          <w:color w:val="FFFFFF" w:themeColor="background1"/>
                          <w:sz w:val="22"/>
                          <w:szCs w:val="28"/>
                        </w:rPr>
                        <w:t>De Duurzame Adviseurs</w:t>
                      </w:r>
                    </w:p>
                    <w:p w14:paraId="047537B6" w14:textId="77777777" w:rsidR="004435E4" w:rsidRDefault="004435E4" w:rsidP="004435E4">
                      <w:pPr>
                        <w:jc w:val="left"/>
                        <w:rPr>
                          <w:color w:val="FFFFFF" w:themeColor="background1"/>
                        </w:rPr>
                      </w:pPr>
                    </w:p>
                    <w:p w14:paraId="1FE6E54F" w14:textId="77777777" w:rsidR="00C501D6" w:rsidRDefault="00C501D6" w:rsidP="004435E4">
                      <w:pPr>
                        <w:jc w:val="left"/>
                        <w:rPr>
                          <w:color w:val="FFFFFF" w:themeColor="background1"/>
                        </w:rPr>
                      </w:pPr>
                    </w:p>
                    <w:p w14:paraId="77F7D745" w14:textId="77777777" w:rsidR="00C501D6" w:rsidRDefault="00C501D6" w:rsidP="004435E4">
                      <w:pPr>
                        <w:jc w:val="left"/>
                        <w:rPr>
                          <w:color w:val="FFFFFF" w:themeColor="background1"/>
                        </w:rPr>
                      </w:pPr>
                    </w:p>
                    <w:p w14:paraId="7A0A6E85" w14:textId="77777777" w:rsidR="00C501D6" w:rsidRPr="00FC493B" w:rsidRDefault="00C501D6" w:rsidP="004435E4">
                      <w:pPr>
                        <w:jc w:val="left"/>
                        <w:rPr>
                          <w:color w:val="FFFFFF" w:themeColor="background1"/>
                        </w:rPr>
                      </w:pPr>
                    </w:p>
                    <w:p w14:paraId="7D3ED947" w14:textId="73167BC6" w:rsidR="004435E4" w:rsidRPr="00C501D6" w:rsidRDefault="002511A0" w:rsidP="004435E4">
                      <w:pPr>
                        <w:jc w:val="left"/>
                        <w:rPr>
                          <w:color w:val="FFFFFF" w:themeColor="background1"/>
                          <w:sz w:val="22"/>
                          <w:szCs w:val="28"/>
                        </w:rPr>
                      </w:pPr>
                      <w:r>
                        <w:rPr>
                          <w:b/>
                          <w:bCs/>
                          <w:color w:val="FFFFFF" w:themeColor="background1"/>
                          <w:sz w:val="22"/>
                          <w:szCs w:val="28"/>
                        </w:rPr>
                        <w:t xml:space="preserve">Datum laatste bewerking: </w:t>
                      </w:r>
                      <w:r w:rsidRPr="00C501D6">
                        <w:rPr>
                          <w:color w:val="FFFFFF" w:themeColor="background1"/>
                          <w:sz w:val="22"/>
                          <w:szCs w:val="28"/>
                        </w:rPr>
                        <w:fldChar w:fldCharType="begin"/>
                      </w:r>
                      <w:r w:rsidRPr="00C501D6">
                        <w:rPr>
                          <w:color w:val="FFFFFF" w:themeColor="background1"/>
                          <w:sz w:val="22"/>
                          <w:szCs w:val="28"/>
                        </w:rPr>
                        <w:instrText xml:space="preserve"> TIME \@ "d-M-yyyy" </w:instrText>
                      </w:r>
                      <w:r w:rsidRPr="00C501D6">
                        <w:rPr>
                          <w:color w:val="FFFFFF" w:themeColor="background1"/>
                          <w:sz w:val="22"/>
                          <w:szCs w:val="28"/>
                        </w:rPr>
                        <w:fldChar w:fldCharType="separate"/>
                      </w:r>
                      <w:r w:rsidR="00010583">
                        <w:rPr>
                          <w:noProof/>
                          <w:color w:val="FFFFFF" w:themeColor="background1"/>
                          <w:sz w:val="22"/>
                          <w:szCs w:val="28"/>
                        </w:rPr>
                        <w:t>11-6-2026</w:t>
                      </w:r>
                      <w:r w:rsidRPr="00C501D6">
                        <w:rPr>
                          <w:color w:val="FFFFFF" w:themeColor="background1"/>
                          <w:sz w:val="22"/>
                          <w:szCs w:val="28"/>
                        </w:rPr>
                        <w:fldChar w:fldCharType="end"/>
                      </w:r>
                    </w:p>
                    <w:p w14:paraId="6F226776" w14:textId="77777777" w:rsidR="004435E4" w:rsidRPr="005D5E95" w:rsidRDefault="004435E4" w:rsidP="004435E4">
                      <w:pPr>
                        <w:rPr>
                          <w:color w:val="FFFFFF" w:themeColor="background1"/>
                        </w:rPr>
                      </w:pPr>
                    </w:p>
                  </w:txbxContent>
                </v:textbox>
                <w10:wrap anchorx="margin" anchory="page"/>
              </v:shape>
            </w:pict>
          </mc:Fallback>
        </mc:AlternateContent>
      </w:r>
      <w:r w:rsidR="00252A96" w:rsidRPr="000248F6">
        <w:rPr>
          <w:rStyle w:val="Subtielebenadrukking"/>
          <w:rFonts w:ascii="Verdana" w:hAnsi="Verdana"/>
          <w:iCs w:val="0"/>
          <w:noProof/>
          <w:color w:val="auto"/>
          <w:sz w:val="40"/>
          <w:szCs w:val="48"/>
        </w:rPr>
        <w:drawing>
          <wp:anchor distT="0" distB="0" distL="114300" distR="114300" simplePos="0" relativeHeight="251658242" behindDoc="0" locked="0" layoutInCell="1" allowOverlap="1" wp14:anchorId="22B6E1AE" wp14:editId="5CFC8436">
            <wp:simplePos x="0" y="0"/>
            <wp:positionH relativeFrom="column">
              <wp:posOffset>2943437</wp:posOffset>
            </wp:positionH>
            <wp:positionV relativeFrom="page">
              <wp:posOffset>9524365</wp:posOffset>
            </wp:positionV>
            <wp:extent cx="3557905" cy="101917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7905" cy="1019175"/>
                    </a:xfrm>
                    <a:prstGeom prst="rect">
                      <a:avLst/>
                    </a:prstGeom>
                  </pic:spPr>
                </pic:pic>
              </a:graphicData>
            </a:graphic>
            <wp14:sizeRelH relativeFrom="margin">
              <wp14:pctWidth>0</wp14:pctWidth>
            </wp14:sizeRelH>
            <wp14:sizeRelV relativeFrom="margin">
              <wp14:pctHeight>0</wp14:pctHeight>
            </wp14:sizeRelV>
          </wp:anchor>
        </w:drawing>
      </w:r>
      <w:r w:rsidR="005F2FA4" w:rsidRPr="000248F6">
        <w:rPr>
          <w:rStyle w:val="Subtielebenadrukking"/>
          <w:rFonts w:ascii="Verdana" w:hAnsi="Verdana"/>
          <w:b/>
          <w:bCs/>
          <w:iCs w:val="0"/>
          <w:noProof/>
          <w:color w:val="auto"/>
          <w:sz w:val="40"/>
          <w:szCs w:val="48"/>
        </w:rPr>
        <mc:AlternateContent>
          <mc:Choice Requires="wps">
            <w:drawing>
              <wp:anchor distT="0" distB="0" distL="114300" distR="114300" simplePos="0" relativeHeight="251658240" behindDoc="1" locked="0" layoutInCell="1" allowOverlap="1" wp14:anchorId="4F237F75" wp14:editId="36CD0B3E">
                <wp:simplePos x="0" y="0"/>
                <wp:positionH relativeFrom="page">
                  <wp:posOffset>0</wp:posOffset>
                </wp:positionH>
                <wp:positionV relativeFrom="page">
                  <wp:posOffset>1627928</wp:posOffset>
                </wp:positionV>
                <wp:extent cx="7600950" cy="9063355"/>
                <wp:effectExtent l="0" t="0" r="19050" b="23495"/>
                <wp:wrapThrough wrapText="bothSides">
                  <wp:wrapPolygon edited="0">
                    <wp:start x="0" y="0"/>
                    <wp:lineTo x="0" y="21611"/>
                    <wp:lineTo x="21600" y="21611"/>
                    <wp:lineTo x="21600" y="0"/>
                    <wp:lineTo x="0" y="0"/>
                  </wp:wrapPolygon>
                </wp:wrapThrough>
                <wp:docPr id="17" name="Rechthoek 17"/>
                <wp:cNvGraphicFramePr/>
                <a:graphic xmlns:a="http://schemas.openxmlformats.org/drawingml/2006/main">
                  <a:graphicData uri="http://schemas.microsoft.com/office/word/2010/wordprocessingShape">
                    <wps:wsp>
                      <wps:cNvSpPr/>
                      <wps:spPr>
                        <a:xfrm>
                          <a:off x="0" y="0"/>
                          <a:ext cx="7600950" cy="9063355"/>
                        </a:xfrm>
                        <a:prstGeom prst="rect">
                          <a:avLst/>
                        </a:prstGeom>
                        <a:solidFill>
                          <a:srgbClr val="B68F72"/>
                        </a:solidFill>
                        <a:ln>
                          <a:solidFill>
                            <a:srgbClr val="6ABD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w14:anchorId="215D88C9">
              <v:rect id="Rechthoek 17" style="position:absolute;margin-left:0;margin-top:128.2pt;width:598.5pt;height:7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b68f72" strokecolor="#6abd92" strokeweight="1pt" w14:anchorId="1FBF9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">
                <w10:wrap type="through" anchorx="page" anchory="page"/>
              </v:rect>
            </w:pict>
          </mc:Fallback>
        </mc:AlternateContent>
      </w:r>
    </w:p>
    <w:p w14:paraId="1EB38266" w14:textId="77777777" w:rsidR="002B1AE1" w:rsidRPr="00BA3E48" w:rsidRDefault="002B1AE1" w:rsidP="002B1AE1">
      <w:bookmarkStart w:id="0" w:name="_Toc109901669"/>
    </w:p>
    <w:p w14:paraId="32A732E2" w14:textId="704E0842" w:rsidR="00010583" w:rsidRPr="00BA3E48" w:rsidRDefault="00010583" w:rsidP="00010583">
      <w:pPr>
        <w:pStyle w:val="Kop1"/>
      </w:pPr>
      <w:r w:rsidRPr="00BA3E48">
        <w:lastRenderedPageBreak/>
        <w:t>Inleiding van de CO</w:t>
      </w:r>
      <w:r w:rsidRPr="00BA3E48">
        <w:rPr>
          <w:vertAlign w:val="subscript"/>
        </w:rPr>
        <w:t>2</w:t>
      </w:r>
      <w:r w:rsidRPr="00BA3E48">
        <w:t>-Prestatieladder</w:t>
      </w:r>
    </w:p>
    <w:p w14:paraId="5D52201F" w14:textId="77777777" w:rsidR="00010583" w:rsidRDefault="00010583" w:rsidP="002B1AE1"/>
    <w:p w14:paraId="679E49A3" w14:textId="7032862B" w:rsidR="002B1AE1" w:rsidRPr="00BA3E48" w:rsidRDefault="002B1AE1" w:rsidP="002B1AE1">
      <w:r w:rsidRPr="00BA3E48">
        <w:t>De CO</w:t>
      </w:r>
      <w:r w:rsidRPr="00BA3E48">
        <w:rPr>
          <w:vertAlign w:val="subscript"/>
        </w:rPr>
        <w:t>2</w:t>
      </w:r>
      <w:r w:rsidRPr="00BA3E48">
        <w:t>-Prestatieladder is een managementsysteem dat zich richt op CO</w:t>
      </w:r>
      <w:r w:rsidRPr="00BA3E48">
        <w:rPr>
          <w:vertAlign w:val="subscript"/>
        </w:rPr>
        <w:t>2</w:t>
      </w:r>
      <w:r w:rsidRPr="00BA3E48">
        <w:t>-reductie, energiebesparing en het gebruik van duurzame energie binnen de bedrijfsvoering en in projecten en in de keten. Het systeem vereist continue verbetering van inzicht, verdere CO</w:t>
      </w:r>
      <w:r w:rsidRPr="00BA3E48">
        <w:rPr>
          <w:vertAlign w:val="subscript"/>
        </w:rPr>
        <w:t>2</w:t>
      </w:r>
      <w:r w:rsidRPr="00BA3E48">
        <w:t>-reductiemaatregelen, communicatie en samenwerking in de bedrijfsvoering. Het helpt organisaties met het structuren van interne bedrijfsprocessen rondom verduurzaming en het opzetten van duurzaamheidsverslaggeving met een focus op CO</w:t>
      </w:r>
      <w:r w:rsidRPr="00BA3E48">
        <w:rPr>
          <w:vertAlign w:val="subscript"/>
        </w:rPr>
        <w:t>2</w:t>
      </w:r>
      <w:r w:rsidRPr="00BA3E48">
        <w:t>. Naast het maatschappelijke belang van duurzaamheid biedt het ook kansen voor het inspireren van interne en externe belanghebbenden, onderscheiding ten opzichte van concurrenten, kostenbesparing en het voldoen aan wetgeving. Daarnaast kan het certificeren op de CO</w:t>
      </w:r>
      <w:r w:rsidRPr="00BA3E48">
        <w:rPr>
          <w:vertAlign w:val="subscript"/>
        </w:rPr>
        <w:t>2</w:t>
      </w:r>
      <w:r w:rsidRPr="00BA3E48">
        <w:t>-Prestatieladder voordeel opleveren in aanbestedingen van (publieke) opdrachtgevers. Hoe meer een organisatie zich inspant om CO</w:t>
      </w:r>
      <w:r w:rsidRPr="00BA3E48">
        <w:rPr>
          <w:vertAlign w:val="subscript"/>
        </w:rPr>
        <w:t>2</w:t>
      </w:r>
      <w:r w:rsidRPr="00BA3E48">
        <w:t xml:space="preserve"> te reduceren, hoe meer kans op gunning bij een opdracht. </w:t>
      </w:r>
    </w:p>
    <w:p w14:paraId="3E7BD01A" w14:textId="79C670E7" w:rsidR="002B1AE1" w:rsidRPr="00BA3E48" w:rsidRDefault="002B1AE1" w:rsidP="002B1AE1"/>
    <w:p w14:paraId="2EEB3FC7" w14:textId="11302748" w:rsidR="002B1AE1" w:rsidRPr="00BA3E48" w:rsidRDefault="002B1AE1" w:rsidP="002B1AE1">
      <w:r w:rsidRPr="00BA3E48">
        <w:t>De CO</w:t>
      </w:r>
      <w:r w:rsidRPr="00BA3E48">
        <w:rPr>
          <w:vertAlign w:val="subscript"/>
        </w:rPr>
        <w:t>2</w:t>
      </w:r>
      <w:r w:rsidRPr="00BA3E48">
        <w:t>-Prestatieladder kent vijf niveaus, waarbij niveau één, twee en drie zich richten op de eigen organisatie en niveau vier en vijf een stap maken naar de keten van de organisatie. Om de ladder te beklimmen naar een volgend niveau moet aan alle verplichte normeisen van onderliggende niveaus worden voldaan. Ieder niveau omvat de volgende vier invalshoeken:</w:t>
      </w:r>
    </w:p>
    <w:p w14:paraId="11FA6FF7" w14:textId="77777777" w:rsidR="002B1AE1" w:rsidRPr="00BA3E48" w:rsidRDefault="002B1AE1" w:rsidP="002B1AE1">
      <w:r w:rsidRPr="00BA3E48">
        <w:t xml:space="preserve"> </w:t>
      </w:r>
    </w:p>
    <w:p w14:paraId="4FA612D3" w14:textId="2E36410A" w:rsidR="002B1AE1" w:rsidRDefault="002B1AE1" w:rsidP="002B1AE1">
      <w:pPr>
        <w:pStyle w:val="Lijstalinea"/>
        <w:numPr>
          <w:ilvl w:val="0"/>
          <w:numId w:val="10"/>
        </w:numPr>
      </w:pPr>
      <w:r w:rsidRPr="00AD0F00">
        <w:rPr>
          <w:b/>
          <w:szCs w:val="19"/>
        </w:rPr>
        <w:t>Inzicht</w:t>
      </w:r>
      <w:r>
        <w:rPr>
          <w:szCs w:val="19"/>
        </w:rPr>
        <w:t xml:space="preserve"> </w:t>
      </w:r>
      <w:r w:rsidRPr="0087665A">
        <w:t>maakt een organisatie bewust van de eigen CO</w:t>
      </w:r>
      <w:r w:rsidRPr="00AD0F00">
        <w:rPr>
          <w:vertAlign w:val="subscript"/>
        </w:rPr>
        <w:t>2</w:t>
      </w:r>
      <w:r w:rsidRPr="0087665A">
        <w:t xml:space="preserve">-prestatie, de risico’s en kansen, biedt de organisatie informatie </w:t>
      </w:r>
      <w:r>
        <w:t xml:space="preserve">die ze kan gebruiken </w:t>
      </w:r>
      <w:r w:rsidRPr="0087665A">
        <w:t xml:space="preserve">voor </w:t>
      </w:r>
      <w:r>
        <w:t xml:space="preserve">het </w:t>
      </w:r>
      <w:r w:rsidRPr="0087665A">
        <w:t>formuleren van effectieve doelstellingen en maatregelen</w:t>
      </w:r>
      <w:r>
        <w:t xml:space="preserve"> om de </w:t>
      </w:r>
      <w:r w:rsidRPr="006C3145">
        <w:t>CO</w:t>
      </w:r>
      <w:r w:rsidRPr="006C3145">
        <w:rPr>
          <w:vertAlign w:val="subscript"/>
        </w:rPr>
        <w:t>2</w:t>
      </w:r>
      <w:r>
        <w:t>-uitstoot te reduceren</w:t>
      </w:r>
      <w:r w:rsidRPr="0087665A">
        <w:t xml:space="preserve">, en waar de communicatie en samenwerking zich op dient te richten. </w:t>
      </w:r>
      <w:r>
        <w:t>Invalshoek A s</w:t>
      </w:r>
      <w:r w:rsidRPr="0087665A">
        <w:t xml:space="preserve">timuleert organisaties om eigen uitstoot en in de </w:t>
      </w:r>
      <w:r w:rsidRPr="005E1ED4">
        <w:t>keten</w:t>
      </w:r>
      <w:r w:rsidRPr="0087665A">
        <w:t xml:space="preserve"> te kennen. </w:t>
      </w:r>
      <w:r>
        <w:t>De organisatie r</w:t>
      </w:r>
      <w:r w:rsidRPr="0087665A">
        <w:t>ealiseert continue verbetering in de diepgang, reikwijdte en efficiëntie van inzicht en kwaliteit van de emissie-inventaris.</w:t>
      </w:r>
    </w:p>
    <w:p w14:paraId="312CF60E" w14:textId="77777777" w:rsidR="002B1AE1" w:rsidRPr="00AD0F00" w:rsidRDefault="002B1AE1" w:rsidP="002B1AE1">
      <w:pPr>
        <w:pStyle w:val="Lijstalinea"/>
        <w:ind w:left="360"/>
      </w:pPr>
    </w:p>
    <w:p w14:paraId="24E842EA" w14:textId="225C9C3D" w:rsidR="002B1AE1" w:rsidRDefault="002B1AE1" w:rsidP="002B1AE1">
      <w:pPr>
        <w:pStyle w:val="Lijstalinea"/>
        <w:numPr>
          <w:ilvl w:val="0"/>
          <w:numId w:val="10"/>
        </w:numPr>
      </w:pPr>
      <w:r>
        <w:rPr>
          <w:b/>
          <w:szCs w:val="19"/>
        </w:rPr>
        <w:t>Reductie</w:t>
      </w:r>
      <w:r>
        <w:rPr>
          <w:szCs w:val="19"/>
        </w:rPr>
        <w:t xml:space="preserve"> </w:t>
      </w:r>
      <w:r w:rsidRPr="00E806D6">
        <w:t>creëert kansen voor het terugdringen van energieverbruik en CO</w:t>
      </w:r>
      <w:r w:rsidRPr="00E806D6">
        <w:rPr>
          <w:vertAlign w:val="subscript"/>
        </w:rPr>
        <w:t>2</w:t>
      </w:r>
      <w:r w:rsidRPr="00E806D6">
        <w:t>-uitstoot</w:t>
      </w:r>
      <w:r>
        <w:t>,</w:t>
      </w:r>
      <w:r w:rsidRPr="00E806D6">
        <w:t xml:space="preserve"> en bevordert samenwerking zodat de meest efficiënte opties voor reductie in de keten worden aangepakt. De organisatie realiseert continue verbetering van de efficiëntie van maatregelen, in het vaststellen en behalen van doelen en het aantonen van voortgang op doelstellingen en maatregelen.</w:t>
      </w:r>
    </w:p>
    <w:p w14:paraId="7D5BDDF3" w14:textId="77777777" w:rsidR="002B1AE1" w:rsidRPr="00E806D6" w:rsidRDefault="002B1AE1" w:rsidP="002B1AE1"/>
    <w:p w14:paraId="485EB667" w14:textId="2C3A7AB8" w:rsidR="002B1AE1" w:rsidRDefault="002B1AE1" w:rsidP="002B1AE1">
      <w:pPr>
        <w:pStyle w:val="Lijstalinea"/>
        <w:numPr>
          <w:ilvl w:val="0"/>
          <w:numId w:val="10"/>
        </w:numPr>
      </w:pPr>
      <w:r w:rsidRPr="000327C1">
        <w:rPr>
          <w:b/>
          <w:szCs w:val="19"/>
        </w:rPr>
        <w:t>Transparantie</w:t>
      </w:r>
      <w:r>
        <w:rPr>
          <w:szCs w:val="19"/>
        </w:rPr>
        <w:t xml:space="preserve"> </w:t>
      </w:r>
      <w:r w:rsidRPr="0087665A">
        <w:t>stimuleert de creatieve betrokkenheid van medewerkers</w:t>
      </w:r>
      <w:r>
        <w:t xml:space="preserve">. Ook </w:t>
      </w:r>
      <w:r w:rsidRPr="0087665A">
        <w:t xml:space="preserve">weten organisaties </w:t>
      </w:r>
      <w:r>
        <w:t xml:space="preserve">van </w:t>
      </w:r>
      <w:r w:rsidRPr="0087665A">
        <w:t xml:space="preserve">elkaars inzet, en kan een organisatie door anderen worden aangesproken op de ambities en vorderingen. De organisatie realiseert continue verbetering in de diepgang en verspreiding van de communicatie en in het verwerken van inbreng van de interne en externe belanghebbenden. </w:t>
      </w:r>
    </w:p>
    <w:p w14:paraId="74886275" w14:textId="77777777" w:rsidR="002B1AE1" w:rsidRPr="00194381" w:rsidRDefault="002B1AE1" w:rsidP="002B1AE1"/>
    <w:p w14:paraId="2F3628ED" w14:textId="1C86D9F4" w:rsidR="002B1AE1" w:rsidRPr="00194381" w:rsidRDefault="002B1AE1" w:rsidP="002B1AE1">
      <w:pPr>
        <w:pStyle w:val="Lijstalinea"/>
        <w:numPr>
          <w:ilvl w:val="0"/>
          <w:numId w:val="10"/>
        </w:numPr>
        <w:jc w:val="left"/>
      </w:pPr>
      <w:r w:rsidRPr="00194381">
        <w:rPr>
          <w:b/>
          <w:szCs w:val="19"/>
        </w:rPr>
        <w:t>Participatie</w:t>
      </w:r>
      <w:r w:rsidRPr="00194381">
        <w:rPr>
          <w:szCs w:val="19"/>
        </w:rPr>
        <w:t xml:space="preserve"> </w:t>
      </w:r>
      <w:r>
        <w:rPr>
          <w:szCs w:val="19"/>
        </w:rPr>
        <w:t xml:space="preserve">laat </w:t>
      </w:r>
      <w:r w:rsidRPr="0087665A">
        <w:t xml:space="preserve">een organisatie </w:t>
      </w:r>
      <w:r>
        <w:t>investeren in samenwerking</w:t>
      </w:r>
      <w:r w:rsidRPr="0087665A">
        <w:t>, delen van eigen kennis en daar waar mogelijk gebruikmaken van kennis die elders is ontwikkeld. De organisatie realiseert continue verbetering in het selecteren van nuttige initiatieven en het toepassen van de kennis</w:t>
      </w:r>
      <w:r>
        <w:t xml:space="preserve"> in de organisatie. </w:t>
      </w:r>
    </w:p>
    <w:p w14:paraId="4BCCE0D7" w14:textId="20D9CFA2" w:rsidR="002B1AE1" w:rsidRPr="00BA3E48" w:rsidRDefault="002B1AE1" w:rsidP="002B1AE1"/>
    <w:p w14:paraId="0DDA82A8" w14:textId="77777777" w:rsidR="002B1AE1" w:rsidRPr="00BA3E48" w:rsidRDefault="002B1AE1" w:rsidP="002B1AE1">
      <w:pPr>
        <w:rPr>
          <w:szCs w:val="19"/>
        </w:rPr>
      </w:pPr>
      <w:r w:rsidRPr="00BA3E48">
        <w:rPr>
          <w:szCs w:val="19"/>
        </w:rPr>
        <w:t>Een erkende certificerende instantie beoordeelt de activiteiten en bepaalt het niveau van de CO</w:t>
      </w:r>
      <w:r w:rsidRPr="00BA3E48">
        <w:rPr>
          <w:szCs w:val="19"/>
          <w:vertAlign w:val="subscript"/>
        </w:rPr>
        <w:t>2</w:t>
      </w:r>
      <w:r w:rsidRPr="00BA3E48">
        <w:rPr>
          <w:szCs w:val="19"/>
        </w:rPr>
        <w:t>-Prestatieladder. Hiervoor moeten stappen zijn gezet op alle invalshoeken van de ladder. In onderstaand figuur wordt bovenstaande tekst schematisch weergegeven met de bijbehorende weging van de invalshoeken voor certificering (bron: Handboek CO</w:t>
      </w:r>
      <w:r w:rsidRPr="00BA3E48">
        <w:rPr>
          <w:szCs w:val="19"/>
          <w:vertAlign w:val="subscript"/>
        </w:rPr>
        <w:t>2</w:t>
      </w:r>
      <w:r w:rsidRPr="00BA3E48">
        <w:rPr>
          <w:szCs w:val="19"/>
        </w:rPr>
        <w:t>-Prestatieladder 3.1, SKAO).</w:t>
      </w:r>
    </w:p>
    <w:p w14:paraId="12D325C0" w14:textId="77777777" w:rsidR="002B1AE1" w:rsidRPr="00BA3E48" w:rsidRDefault="002B1AE1" w:rsidP="002B1AE1">
      <w:pPr>
        <w:rPr>
          <w:szCs w:val="19"/>
        </w:rPr>
      </w:pPr>
      <w:r w:rsidRPr="00BA3E48">
        <w:rPr>
          <w:noProof/>
          <w:szCs w:val="19"/>
        </w:rPr>
        <w:drawing>
          <wp:anchor distT="0" distB="0" distL="114300" distR="114300" simplePos="0" relativeHeight="251658244" behindDoc="1" locked="0" layoutInCell="1" allowOverlap="1" wp14:anchorId="1045D329" wp14:editId="61C28F67">
            <wp:simplePos x="0" y="0"/>
            <wp:positionH relativeFrom="column">
              <wp:posOffset>796389</wp:posOffset>
            </wp:positionH>
            <wp:positionV relativeFrom="paragraph">
              <wp:posOffset>151130</wp:posOffset>
            </wp:positionV>
            <wp:extent cx="4236154" cy="1652530"/>
            <wp:effectExtent l="0" t="0" r="5715" b="0"/>
            <wp:wrapTight wrapText="bothSides">
              <wp:wrapPolygon edited="0">
                <wp:start x="0" y="0"/>
                <wp:lineTo x="0" y="21417"/>
                <wp:lineTo x="21564" y="21417"/>
                <wp:lineTo x="2156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36154" cy="1652530"/>
                    </a:xfrm>
                    <a:prstGeom prst="rect">
                      <a:avLst/>
                    </a:prstGeom>
                  </pic:spPr>
                </pic:pic>
              </a:graphicData>
            </a:graphic>
            <wp14:sizeRelH relativeFrom="page">
              <wp14:pctWidth>0</wp14:pctWidth>
            </wp14:sizeRelH>
            <wp14:sizeRelV relativeFrom="page">
              <wp14:pctHeight>0</wp14:pctHeight>
            </wp14:sizeRelV>
          </wp:anchor>
        </w:drawing>
      </w:r>
    </w:p>
    <w:p w14:paraId="495BEB80" w14:textId="77777777" w:rsidR="002B1AE1" w:rsidRDefault="002B1AE1" w:rsidP="002B1AE1">
      <w:pPr>
        <w:pStyle w:val="Kop1"/>
        <w:numPr>
          <w:ilvl w:val="0"/>
          <w:numId w:val="0"/>
        </w:numPr>
        <w:ind w:left="432"/>
      </w:pPr>
    </w:p>
    <w:p w14:paraId="6666628B" w14:textId="77777777" w:rsidR="002B1AE1" w:rsidRDefault="002B1AE1">
      <w:pPr>
        <w:jc w:val="left"/>
        <w:rPr>
          <w:rFonts w:eastAsiaTheme="majorEastAsia" w:cstheme="majorBidi"/>
          <w:color w:val="6ABE93"/>
          <w:sz w:val="32"/>
          <w:szCs w:val="32"/>
        </w:rPr>
      </w:pPr>
      <w:r>
        <w:br w:type="page"/>
      </w:r>
    </w:p>
    <w:p w14:paraId="00DF4E8F" w14:textId="77777777" w:rsidR="008F5FF4" w:rsidRDefault="0099392F" w:rsidP="008F729A">
      <w:pPr>
        <w:pStyle w:val="Kop1"/>
      </w:pPr>
      <w:bookmarkStart w:id="1" w:name="_Toc118736203"/>
      <w:bookmarkStart w:id="2" w:name="_Toc142472092"/>
      <w:r>
        <w:lastRenderedPageBreak/>
        <w:t>Directiebeoordeling</w:t>
      </w:r>
      <w:bookmarkEnd w:id="1"/>
      <w:bookmarkEnd w:id="2"/>
    </w:p>
    <w:p w14:paraId="11D5722F" w14:textId="77777777" w:rsidR="00E80BB0" w:rsidRDefault="00E80BB0"/>
    <w:p w14:paraId="448A2B53" w14:textId="77777777" w:rsidR="00DB40D6" w:rsidRDefault="006F3717">
      <w:r>
        <w:t xml:space="preserve">De directiebeoordeling </w:t>
      </w:r>
      <w:r w:rsidR="00E80BB0">
        <w:t xml:space="preserve">van de </w:t>
      </w:r>
      <w:r w:rsidR="00E80BB0" w:rsidRPr="006C3145">
        <w:t>CO</w:t>
      </w:r>
      <w:r w:rsidR="00E80BB0" w:rsidRPr="006C3145">
        <w:rPr>
          <w:vertAlign w:val="subscript"/>
        </w:rPr>
        <w:t>2</w:t>
      </w:r>
      <w:r w:rsidR="00E80BB0">
        <w:t xml:space="preserve">-Prestatieladder </w:t>
      </w:r>
      <w:r>
        <w:t xml:space="preserve">vindt jaarlijks plaats om </w:t>
      </w:r>
      <w:r w:rsidR="004F7799">
        <w:t xml:space="preserve">de continue geschiktheid, </w:t>
      </w:r>
      <w:proofErr w:type="spellStart"/>
      <w:r w:rsidR="004F7799">
        <w:t>toereikendheid</w:t>
      </w:r>
      <w:proofErr w:type="spellEnd"/>
      <w:r w:rsidR="004F7799">
        <w:t xml:space="preserve">, doeltreffendheid en afstemming met de strategische richting van de organisatie te bewerkstelligen. </w:t>
      </w:r>
      <w:r w:rsidR="00EB2AA1">
        <w:t xml:space="preserve">Deze beoordeling is onderdeel van </w:t>
      </w:r>
      <w:r w:rsidR="00D24E12">
        <w:t xml:space="preserve">onze </w:t>
      </w:r>
      <w:r w:rsidR="00833B63">
        <w:t>Plan-Do-Check-Act cyclus</w:t>
      </w:r>
      <w:r w:rsidR="007253D2">
        <w:t>.</w:t>
      </w:r>
      <w:r w:rsidR="00DA5B4A">
        <w:t xml:space="preserve"> De verwezen paragrafen zijn onderdeel van de directiebeoordeling. </w:t>
      </w:r>
    </w:p>
    <w:p w14:paraId="03ACE19D" w14:textId="77777777" w:rsidR="0082726F" w:rsidRDefault="0082726F" w:rsidP="0082726F">
      <w:pPr>
        <w:rPr>
          <w:color w:val="ED7D31" w:themeColor="accent2"/>
        </w:rPr>
      </w:pPr>
    </w:p>
    <w:p w14:paraId="1A5806B9" w14:textId="77777777" w:rsidR="0082726F" w:rsidRDefault="0082726F" w:rsidP="0082726F">
      <w:pPr>
        <w:pStyle w:val="Kop2"/>
      </w:pPr>
      <w:bookmarkStart w:id="3" w:name="_Toc118736207"/>
      <w:bookmarkStart w:id="4" w:name="_Toc142472093"/>
      <w:r>
        <w:t>Significante wijzigingen</w:t>
      </w:r>
      <w:bookmarkEnd w:id="3"/>
      <w:bookmarkEnd w:id="4"/>
    </w:p>
    <w:p w14:paraId="3E06B402" w14:textId="77777777" w:rsidR="002134DD" w:rsidRPr="002134DD" w:rsidRDefault="002134DD" w:rsidP="004A675A">
      <w:pPr>
        <w:pStyle w:val="Kop3"/>
      </w:pPr>
      <w:bookmarkStart w:id="5" w:name="_Organizational_boundary"/>
      <w:bookmarkStart w:id="6" w:name="_Toc118736208"/>
      <w:bookmarkStart w:id="7" w:name="_Toc142472094"/>
      <w:bookmarkEnd w:id="5"/>
      <w:proofErr w:type="spellStart"/>
      <w:r>
        <w:t>O</w:t>
      </w:r>
      <w:r w:rsidR="00715FB8">
        <w:t>rganizational</w:t>
      </w:r>
      <w:proofErr w:type="spellEnd"/>
      <w:r w:rsidR="00715FB8">
        <w:t xml:space="preserve"> </w:t>
      </w:r>
      <w:proofErr w:type="spellStart"/>
      <w:r w:rsidR="00715FB8">
        <w:t>boundary</w:t>
      </w:r>
      <w:bookmarkEnd w:id="6"/>
      <w:bookmarkEnd w:id="7"/>
      <w:proofErr w:type="spellEnd"/>
      <w:r>
        <w:t xml:space="preserve"> en Referentiejaar</w:t>
      </w:r>
    </w:p>
    <w:p w14:paraId="22349189" w14:textId="77777777" w:rsidR="002134DD" w:rsidRPr="004061F7" w:rsidRDefault="00150924" w:rsidP="002134DD">
      <w:pPr>
        <w:rPr>
          <w:color w:val="ED7D31" w:themeColor="accent2"/>
        </w:rPr>
      </w:pPr>
      <w:r>
        <w:t>Zie paragraaf</w:t>
      </w:r>
      <w:r w:rsidR="005B1065" w:rsidRPr="002134DD">
        <w:t xml:space="preserve"> </w:t>
      </w:r>
      <w:hyperlink w:anchor="_Organizational_boundary_1" w:history="1">
        <w:r w:rsidR="005B1065" w:rsidRPr="002134DD">
          <w:rPr>
            <w:rStyle w:val="Hyperlink"/>
            <w:color w:val="6BBE93"/>
          </w:rPr>
          <w:t>4.3</w:t>
        </w:r>
      </w:hyperlink>
      <w:r w:rsidR="00C35FE9" w:rsidRPr="002134DD">
        <w:rPr>
          <w:rStyle w:val="Hyperlink"/>
          <w:color w:val="6BBE93"/>
        </w:rPr>
        <w:t>.</w:t>
      </w:r>
      <w:r w:rsidR="00C35FE9">
        <w:t xml:space="preserve"> </w:t>
      </w:r>
      <w:proofErr w:type="gramStart"/>
      <w:r w:rsidR="002134DD">
        <w:t>en</w:t>
      </w:r>
      <w:proofErr w:type="gramEnd"/>
      <w:r w:rsidR="002134DD">
        <w:t xml:space="preserve"> paragraaf </w:t>
      </w:r>
      <w:hyperlink w:anchor="_Referentiejaar_en_rapportagejaar" w:history="1">
        <w:r w:rsidR="002134DD" w:rsidRPr="00C35FE9">
          <w:rPr>
            <w:rStyle w:val="Hyperlink"/>
            <w:color w:val="6BBE93"/>
          </w:rPr>
          <w:t>5.2</w:t>
        </w:r>
      </w:hyperlink>
      <w:r w:rsidR="00DA5B4A">
        <w:t xml:space="preserve">. </w:t>
      </w:r>
    </w:p>
    <w:p w14:paraId="4225DD8E" w14:textId="77777777" w:rsidR="004D4D91" w:rsidRDefault="004D4D91" w:rsidP="004A675A">
      <w:pPr>
        <w:rPr>
          <w:color w:val="ED7D31" w:themeColor="accent2"/>
        </w:rPr>
      </w:pPr>
    </w:p>
    <w:p w14:paraId="3595091F" w14:textId="6BE3CC88" w:rsidR="00D22CCC" w:rsidRPr="009B5EB0" w:rsidRDefault="009F0AAA" w:rsidP="004A675A">
      <w:r w:rsidRPr="009B5EB0">
        <w:t xml:space="preserve">Er zijn geen wijzigingen geweest in de </w:t>
      </w:r>
      <w:proofErr w:type="spellStart"/>
      <w:r w:rsidRPr="009B5EB0">
        <w:t>organizational</w:t>
      </w:r>
      <w:proofErr w:type="spellEnd"/>
      <w:r w:rsidRPr="009B5EB0">
        <w:t xml:space="preserve"> </w:t>
      </w:r>
      <w:proofErr w:type="spellStart"/>
      <w:r w:rsidRPr="009B5EB0">
        <w:t>boundary</w:t>
      </w:r>
      <w:proofErr w:type="spellEnd"/>
      <w:r w:rsidRPr="009B5EB0">
        <w:t xml:space="preserve">. </w:t>
      </w:r>
      <w:r w:rsidR="00905603" w:rsidRPr="009B5EB0">
        <w:t xml:space="preserve"> </w:t>
      </w:r>
    </w:p>
    <w:p w14:paraId="17A8936F" w14:textId="7210EDE0" w:rsidR="009F0AAA" w:rsidRPr="007D17AE" w:rsidRDefault="001673FE" w:rsidP="004A675A">
      <w:pPr>
        <w:rPr>
          <w:color w:val="ED7D31" w:themeColor="accent2"/>
        </w:rPr>
      </w:pPr>
      <w:r w:rsidRPr="007D17AE">
        <w:rPr>
          <w:color w:val="ED7D31" w:themeColor="accent2"/>
        </w:rPr>
        <w:t xml:space="preserve"> </w:t>
      </w:r>
      <w:r w:rsidR="00D22CCC" w:rsidRPr="007D17AE">
        <w:rPr>
          <w:color w:val="ED7D31" w:themeColor="accent2"/>
        </w:rPr>
        <w:t xml:space="preserve"> </w:t>
      </w:r>
    </w:p>
    <w:p w14:paraId="41B15B4A" w14:textId="77777777" w:rsidR="006D2B59" w:rsidRDefault="006D2B59" w:rsidP="006D2B59">
      <w:pPr>
        <w:pStyle w:val="Kop3"/>
      </w:pPr>
      <w:bookmarkStart w:id="8" w:name="_Toc118736210"/>
      <w:bookmarkStart w:id="9" w:name="_Toc142472096"/>
      <w:r>
        <w:t xml:space="preserve">Plan van aanpak en </w:t>
      </w:r>
      <w:r w:rsidRPr="006C3145">
        <w:t>CO</w:t>
      </w:r>
      <w:r w:rsidRPr="006C3145">
        <w:rPr>
          <w:vertAlign w:val="subscript"/>
        </w:rPr>
        <w:t>2</w:t>
      </w:r>
      <w:r>
        <w:t>-reductiedoelstellingen</w:t>
      </w:r>
      <w:bookmarkEnd w:id="8"/>
      <w:bookmarkEnd w:id="9"/>
    </w:p>
    <w:p w14:paraId="4C080365" w14:textId="77777777" w:rsidR="006D2B59" w:rsidRPr="00C35FE9" w:rsidRDefault="00150924" w:rsidP="006D2B59">
      <w:pPr>
        <w:rPr>
          <w:color w:val="000000" w:themeColor="text1"/>
        </w:rPr>
      </w:pPr>
      <w:r>
        <w:t xml:space="preserve">Zie paragraaf </w:t>
      </w:r>
      <w:hyperlink w:anchor="_CO2-reductiedoelstellingen_en_voort" w:history="1">
        <w:r w:rsidRPr="00C35FE9">
          <w:rPr>
            <w:rStyle w:val="Hyperlink"/>
            <w:color w:val="6BBE93"/>
          </w:rPr>
          <w:t>6.2</w:t>
        </w:r>
      </w:hyperlink>
      <w:r w:rsidR="00C35FE9">
        <w:rPr>
          <w:color w:val="000000" w:themeColor="text1"/>
        </w:rPr>
        <w:t>.</w:t>
      </w:r>
    </w:p>
    <w:p w14:paraId="78F725A9" w14:textId="77777777" w:rsidR="00D955E1" w:rsidRDefault="00D955E1" w:rsidP="0002068A">
      <w:pPr>
        <w:rPr>
          <w:color w:val="ED7D31" w:themeColor="accent2"/>
        </w:rPr>
      </w:pPr>
    </w:p>
    <w:p w14:paraId="05CF3195" w14:textId="65BFEFBF" w:rsidR="009A11F3" w:rsidRPr="00094710" w:rsidRDefault="00334C00" w:rsidP="00682319">
      <w:r w:rsidRPr="00094710">
        <w:t>Het huidige plan van aanpak is nog steeds actueel</w:t>
      </w:r>
      <w:r w:rsidR="00B90CA9" w:rsidRPr="00094710">
        <w:t xml:space="preserve">, waarbij </w:t>
      </w:r>
      <w:r w:rsidR="00975130" w:rsidRPr="00094710">
        <w:t>de opgestelde maatregelen nog steeds van toepassing zijn.</w:t>
      </w:r>
      <w:r w:rsidR="00817C67" w:rsidRPr="00094710">
        <w:t xml:space="preserve"> </w:t>
      </w:r>
      <w:r w:rsidR="00682319" w:rsidRPr="00094710">
        <w:t>Verder is h</w:t>
      </w:r>
      <w:r w:rsidR="752079BF" w:rsidRPr="00094710">
        <w:t xml:space="preserve">et plan van aanpak </w:t>
      </w:r>
      <w:r w:rsidR="51DF1593" w:rsidRPr="00094710">
        <w:t xml:space="preserve">voorzien van een aantal doorlopende maatregelen. </w:t>
      </w:r>
      <w:r w:rsidR="00682319" w:rsidRPr="00094710">
        <w:t xml:space="preserve">Ook is het plan van aanpak aangevuld met </w:t>
      </w:r>
      <w:r w:rsidR="00094710" w:rsidRPr="00094710">
        <w:t>maatregelen, zoals het overstappen naar groeien stroom in 2026.</w:t>
      </w:r>
      <w:r w:rsidR="00682319" w:rsidRPr="00094710">
        <w:t xml:space="preserve"> </w:t>
      </w:r>
      <w:r w:rsidR="51DF1593" w:rsidRPr="00094710">
        <w:t>Om deze te kunnen waarborg</w:t>
      </w:r>
      <w:r w:rsidR="039DC2A4" w:rsidRPr="00094710">
        <w:t>en</w:t>
      </w:r>
      <w:r w:rsidR="67FDC39F" w:rsidRPr="00094710">
        <w:t xml:space="preserve"> en monitoren</w:t>
      </w:r>
      <w:r w:rsidR="039DC2A4" w:rsidRPr="00094710">
        <w:t xml:space="preserve"> is het van belang dat</w:t>
      </w:r>
      <w:r w:rsidR="4D547950" w:rsidRPr="00094710">
        <w:t xml:space="preserve"> de maatregelen </w:t>
      </w:r>
      <w:r w:rsidR="039DC2A4" w:rsidRPr="00094710">
        <w:t xml:space="preserve">gebaseerd zijn op efficiënt beleid. </w:t>
      </w:r>
      <w:r w:rsidR="7938D6C5" w:rsidRPr="00094710">
        <w:t>Daarnaast zijn e</w:t>
      </w:r>
      <w:r w:rsidR="71775D6F" w:rsidRPr="00094710">
        <w:t>e</w:t>
      </w:r>
      <w:r w:rsidR="752079BF" w:rsidRPr="00094710">
        <w:t xml:space="preserve">n </w:t>
      </w:r>
      <w:r w:rsidR="2D7F31B1" w:rsidRPr="00094710">
        <w:t xml:space="preserve">aantal maatregelen </w:t>
      </w:r>
      <w:r w:rsidR="752079BF" w:rsidRPr="00094710">
        <w:t xml:space="preserve">ingericht op de bewustwording van medewerkers, daar waar </w:t>
      </w:r>
      <w:r w:rsidR="29CB19AE" w:rsidRPr="00094710">
        <w:t xml:space="preserve">brandstofverbruik een groot </w:t>
      </w:r>
      <w:r w:rsidR="18A578DD" w:rsidRPr="00094710">
        <w:t xml:space="preserve">deel van de footprint bepaald lijkt het </w:t>
      </w:r>
      <w:r w:rsidR="48A1E5DF" w:rsidRPr="00094710">
        <w:t xml:space="preserve">effectief medewerkers </w:t>
      </w:r>
      <w:r w:rsidR="7A7E8F5E" w:rsidRPr="00094710">
        <w:t xml:space="preserve">te wijzen op de impact die zij maken. Al met al is het huidige plan van aanpak ingericht met een divers scala aan maatregelen om op elk onderdeel </w:t>
      </w:r>
      <w:r w:rsidR="4BF4E9C0" w:rsidRPr="00094710">
        <w:t>CO2-reductie mogelijk te maken.</w:t>
      </w:r>
    </w:p>
    <w:p w14:paraId="52A45A17" w14:textId="17B68CEE" w:rsidR="34211287" w:rsidRPr="00094710" w:rsidRDefault="34211287" w:rsidP="34211287"/>
    <w:p w14:paraId="4D3AE721" w14:textId="00B6D01E" w:rsidR="00682319" w:rsidRPr="00094710" w:rsidRDefault="00682319" w:rsidP="00682319">
      <w:r w:rsidRPr="00094710">
        <w:t xml:space="preserve">De doelstelling </w:t>
      </w:r>
      <w:r w:rsidR="00094710" w:rsidRPr="00094710">
        <w:t>is dit jaar gelijk gebleven aan die van vorig jaar. Afgelopen jaar is deze opgehoogd naar 55% reductie in 2026</w:t>
      </w:r>
      <w:r w:rsidRPr="00094710">
        <w:t xml:space="preserve">. </w:t>
      </w:r>
    </w:p>
    <w:p w14:paraId="502597BC" w14:textId="77777777" w:rsidR="00682319" w:rsidRDefault="00682319" w:rsidP="34211287"/>
    <w:p w14:paraId="25341C27" w14:textId="77777777" w:rsidR="00885421" w:rsidRDefault="00B91082" w:rsidP="00885421">
      <w:pPr>
        <w:pStyle w:val="Kop3"/>
      </w:pPr>
      <w:bookmarkStart w:id="10" w:name="_Projecten_met_gunningvoordeel"/>
      <w:bookmarkStart w:id="11" w:name="_Toc118736211"/>
      <w:bookmarkStart w:id="12" w:name="_Toc142472097"/>
      <w:bookmarkEnd w:id="10"/>
      <w:r>
        <w:t>Actieve p</w:t>
      </w:r>
      <w:r w:rsidR="00885421">
        <w:t>rojecten met gunningvoordeel</w:t>
      </w:r>
      <w:bookmarkEnd w:id="11"/>
      <w:bookmarkEnd w:id="12"/>
    </w:p>
    <w:p w14:paraId="0D353C36" w14:textId="128DA561" w:rsidR="0091476D" w:rsidRDefault="00150924" w:rsidP="0091476D">
      <w:pPr>
        <w:rPr>
          <w:color w:val="000000" w:themeColor="text1"/>
        </w:rPr>
      </w:pPr>
      <w:r w:rsidRPr="00150924">
        <w:rPr>
          <w:color w:val="000000" w:themeColor="text1"/>
        </w:rPr>
        <w:t xml:space="preserve">Zie paragraaf </w:t>
      </w:r>
      <w:hyperlink w:anchor="_Projecten_met_gunningvoordeel_1" w:history="1">
        <w:r w:rsidRPr="00C35FE9">
          <w:rPr>
            <w:rStyle w:val="Hyperlink"/>
            <w:color w:val="6BBE93"/>
          </w:rPr>
          <w:t>4.5</w:t>
        </w:r>
      </w:hyperlink>
      <w:r w:rsidR="00C35FE9">
        <w:rPr>
          <w:color w:val="000000" w:themeColor="text1"/>
        </w:rPr>
        <w:t xml:space="preserve">. </w:t>
      </w:r>
    </w:p>
    <w:p w14:paraId="17072A20" w14:textId="77777777" w:rsidR="00AA1A2C" w:rsidRDefault="00AA1A2C" w:rsidP="0091476D">
      <w:pPr>
        <w:rPr>
          <w:color w:val="000000" w:themeColor="text1"/>
        </w:rPr>
      </w:pPr>
    </w:p>
    <w:p w14:paraId="3E830D22" w14:textId="5D04D1D6" w:rsidR="00AA1A2C" w:rsidRDefault="00AA1A2C" w:rsidP="0091476D">
      <w:r w:rsidRPr="00B40EEE">
        <w:t>In het jaar 202</w:t>
      </w:r>
      <w:r w:rsidR="00B40EEE" w:rsidRPr="00B40EEE">
        <w:t>5</w:t>
      </w:r>
      <w:r w:rsidRPr="00B40EEE">
        <w:t xml:space="preserve"> </w:t>
      </w:r>
      <w:r w:rsidR="00B40EEE" w:rsidRPr="00B40EEE">
        <w:t>waren er 2 projecten met gunningvoordeel</w:t>
      </w:r>
      <w:r w:rsidR="00845633">
        <w:t xml:space="preserve">: </w:t>
      </w:r>
    </w:p>
    <w:p w14:paraId="2C43341A" w14:textId="77777777" w:rsidR="00845633" w:rsidRDefault="00845633" w:rsidP="0091476D"/>
    <w:p w14:paraId="5BF44C7B" w14:textId="703E1FB1" w:rsidR="00AB31C3" w:rsidRPr="00AB31C3" w:rsidRDefault="00AB31C3" w:rsidP="00AB31C3">
      <w:pPr>
        <w:rPr>
          <w:b/>
          <w:bCs/>
        </w:rPr>
      </w:pPr>
      <w:r w:rsidRPr="00AB31C3">
        <w:rPr>
          <w:b/>
          <w:bCs/>
        </w:rPr>
        <w:t>Project</w:t>
      </w:r>
      <w:r w:rsidRPr="00AB31C3">
        <w:rPr>
          <w:b/>
          <w:bCs/>
        </w:rPr>
        <w:tab/>
      </w:r>
      <w:r w:rsidRPr="00AB31C3">
        <w:rPr>
          <w:b/>
          <w:bCs/>
        </w:rPr>
        <w:tab/>
      </w:r>
      <w:r w:rsidRPr="00AB31C3">
        <w:rPr>
          <w:b/>
          <w:bCs/>
        </w:rPr>
        <w:tab/>
        <w:t>Stad</w:t>
      </w:r>
      <w:r w:rsidRPr="00AB31C3">
        <w:rPr>
          <w:b/>
          <w:bCs/>
        </w:rPr>
        <w:tab/>
      </w:r>
      <w:r w:rsidRPr="00AB31C3">
        <w:rPr>
          <w:b/>
          <w:bCs/>
        </w:rPr>
        <w:tab/>
      </w:r>
      <w:r w:rsidRPr="00AB31C3">
        <w:rPr>
          <w:b/>
          <w:bCs/>
        </w:rPr>
        <w:tab/>
        <w:t>Startdatum</w:t>
      </w:r>
      <w:r w:rsidRPr="00AB31C3">
        <w:rPr>
          <w:b/>
          <w:bCs/>
        </w:rPr>
        <w:tab/>
      </w:r>
      <w:r w:rsidRPr="00AB31C3">
        <w:rPr>
          <w:b/>
          <w:bCs/>
        </w:rPr>
        <w:tab/>
        <w:t>Einddatum</w:t>
      </w:r>
    </w:p>
    <w:p w14:paraId="4626FCB9" w14:textId="2F6B8C71" w:rsidR="00AB31C3" w:rsidRDefault="00AB31C3" w:rsidP="00AB31C3">
      <w:proofErr w:type="spellStart"/>
      <w:r>
        <w:t>T'</w:t>
      </w:r>
      <w:r w:rsidR="64A7BFD4">
        <w:t>L</w:t>
      </w:r>
      <w:r>
        <w:t>oopveld</w:t>
      </w:r>
      <w:proofErr w:type="spellEnd"/>
      <w:r>
        <w:tab/>
      </w:r>
      <w:r>
        <w:tab/>
        <w:t xml:space="preserve">Amsterdam </w:t>
      </w:r>
      <w:r>
        <w:tab/>
      </w:r>
      <w:r>
        <w:tab/>
        <w:t>26-mei</w:t>
      </w:r>
      <w:r>
        <w:tab/>
      </w:r>
      <w:r>
        <w:tab/>
      </w:r>
      <w:r>
        <w:tab/>
        <w:t>22-Aug</w:t>
      </w:r>
    </w:p>
    <w:p w14:paraId="13390373" w14:textId="67E8C6A6" w:rsidR="00C07F39" w:rsidRDefault="00AB31C3" w:rsidP="00AB31C3">
      <w:r>
        <w:t>Spieringshoorn</w:t>
      </w:r>
      <w:r>
        <w:tab/>
        <w:t xml:space="preserve">Amsterdam </w:t>
      </w:r>
      <w:r>
        <w:tab/>
      </w:r>
      <w:r>
        <w:tab/>
        <w:t>4-Aug</w:t>
      </w:r>
      <w:r>
        <w:tab/>
      </w:r>
      <w:r>
        <w:tab/>
      </w:r>
      <w:r>
        <w:tab/>
        <w:t>19-Sep</w:t>
      </w:r>
    </w:p>
    <w:p w14:paraId="4119E2A4" w14:textId="77777777" w:rsidR="00AB31C3" w:rsidRDefault="00AB31C3" w:rsidP="00AB31C3"/>
    <w:p w14:paraId="5CBD82C5" w14:textId="77777777" w:rsidR="00E06FB2" w:rsidRDefault="00E06FB2" w:rsidP="00E06FB2">
      <w:pPr>
        <w:pStyle w:val="Kop2"/>
      </w:pPr>
      <w:bookmarkStart w:id="13" w:name="_Toc118736212"/>
      <w:bookmarkStart w:id="14" w:name="_Toc142472098"/>
      <w:r>
        <w:t>Prestaties</w:t>
      </w:r>
      <w:bookmarkEnd w:id="13"/>
      <w:bookmarkEnd w:id="14"/>
      <w:r w:rsidR="001F0BD0">
        <w:t xml:space="preserve"> </w:t>
      </w:r>
    </w:p>
    <w:p w14:paraId="6D4EA804" w14:textId="77777777" w:rsidR="00E06FB2" w:rsidRDefault="00E06FB2" w:rsidP="00E06FB2">
      <w:pPr>
        <w:pStyle w:val="Kop3"/>
      </w:pPr>
      <w:bookmarkStart w:id="15" w:name="_Toc118736213"/>
      <w:bookmarkStart w:id="16" w:name="_Toc142472099"/>
      <w:r w:rsidRPr="006C3145">
        <w:t>CO</w:t>
      </w:r>
      <w:r w:rsidRPr="006C3145">
        <w:rPr>
          <w:vertAlign w:val="subscript"/>
        </w:rPr>
        <w:t>2</w:t>
      </w:r>
      <w:r>
        <w:t>-emissies</w:t>
      </w:r>
      <w:r w:rsidR="00217C63">
        <w:t>, energie</w:t>
      </w:r>
      <w:r w:rsidR="00C35FE9">
        <w:t>verbruik</w:t>
      </w:r>
      <w:r w:rsidR="00217C63">
        <w:t xml:space="preserve"> </w:t>
      </w:r>
      <w:r>
        <w:t xml:space="preserve">en </w:t>
      </w:r>
      <w:r w:rsidR="00FF4E78">
        <w:t>energiebeoordeling</w:t>
      </w:r>
      <w:bookmarkEnd w:id="15"/>
      <w:bookmarkEnd w:id="16"/>
    </w:p>
    <w:p w14:paraId="7D90833B" w14:textId="77777777" w:rsidR="00D87815" w:rsidRDefault="00D87815" w:rsidP="00D87815">
      <w:pPr>
        <w:rPr>
          <w:b/>
          <w:bCs/>
        </w:rPr>
      </w:pPr>
      <w:r w:rsidRPr="00D87815">
        <w:rPr>
          <w:b/>
          <w:bCs/>
        </w:rPr>
        <w:t>CO</w:t>
      </w:r>
      <w:r w:rsidRPr="00D87815">
        <w:rPr>
          <w:b/>
          <w:bCs/>
          <w:vertAlign w:val="subscript"/>
        </w:rPr>
        <w:t>2</w:t>
      </w:r>
      <w:r>
        <w:rPr>
          <w:b/>
          <w:bCs/>
        </w:rPr>
        <w:t>-emissies</w:t>
      </w:r>
    </w:p>
    <w:p w14:paraId="0254A832" w14:textId="2936E82D" w:rsidR="003408E8" w:rsidRPr="00C35FE9" w:rsidRDefault="00150924" w:rsidP="34211287">
      <w:pPr>
        <w:rPr>
          <w:color w:val="000000" w:themeColor="text1"/>
        </w:rPr>
      </w:pPr>
      <w:r>
        <w:t xml:space="preserve">Zie paragraaf </w:t>
      </w:r>
      <w:hyperlink w:anchor="_CO2-emissie_berekeningen">
        <w:r w:rsidRPr="31AD926C">
          <w:rPr>
            <w:rStyle w:val="Hyperlink"/>
            <w:color w:val="6BBE93"/>
          </w:rPr>
          <w:t>5.4</w:t>
        </w:r>
      </w:hyperlink>
      <w:r w:rsidR="00C35FE9" w:rsidRPr="31AD926C">
        <w:rPr>
          <w:color w:val="000000" w:themeColor="text1"/>
        </w:rPr>
        <w:t>.</w:t>
      </w:r>
    </w:p>
    <w:p w14:paraId="4B028BF7" w14:textId="77777777" w:rsidR="00EC03DD" w:rsidRPr="00561D26" w:rsidRDefault="0792F406" w:rsidP="00EC03DD">
      <w:r w:rsidRPr="00561D26">
        <w:t>De CO2</w:t>
      </w:r>
      <w:r w:rsidR="476BFABD" w:rsidRPr="00561D26">
        <w:t>-</w:t>
      </w:r>
      <w:r w:rsidRPr="00561D26">
        <w:t>emissies zijn in lijn van de verwachting</w:t>
      </w:r>
      <w:r w:rsidR="00EC03DD" w:rsidRPr="00561D26">
        <w:t>. Ondanks dat de uitstoot in absolute zin is gestegen met 36% sinds 2021, is de relatieve uitstoot (gerelateerd aan omzet) met 48% gedaald. Dit zorgt ervoor dat de tussenhoofddoelstelling in 2025 is gehaald en dat de organisatie in lijn ligt om de doelstelling van 2026 te halen.  </w:t>
      </w:r>
    </w:p>
    <w:p w14:paraId="5D336424" w14:textId="77777777" w:rsidR="00EC03DD" w:rsidRPr="00EC03DD" w:rsidRDefault="00EC03DD" w:rsidP="00EC03DD">
      <w:r w:rsidRPr="00EC03DD">
        <w:t> </w:t>
      </w:r>
    </w:p>
    <w:p w14:paraId="1795A61A" w14:textId="1B981F70" w:rsidR="00561D26" w:rsidRPr="00EC03DD" w:rsidRDefault="00EC03DD" w:rsidP="00561D26">
      <w:r w:rsidRPr="00EC03DD">
        <w:t>De stijging in absolute uitstoot komt met name door extra geladen kWh vanuit het wagenpark. De uitstoot vanuit diesel is ongeveer gelijk gebleven, ook de uitstoot vanuit het vastgoed is gedaald.  </w:t>
      </w:r>
      <w:r w:rsidR="00216070" w:rsidRPr="00561D26">
        <w:t xml:space="preserve">De directie heeft volle vertrouwen dat de doelstelling gehaald zal worden. </w:t>
      </w:r>
    </w:p>
    <w:p w14:paraId="3126FBF7" w14:textId="6311F1EF" w:rsidR="00A04FD4" w:rsidRPr="00561D26" w:rsidRDefault="00A04FD4" w:rsidP="003408E8">
      <w:r w:rsidRPr="00561D26">
        <w:t xml:space="preserve"> </w:t>
      </w:r>
    </w:p>
    <w:p w14:paraId="04D3076B" w14:textId="77777777" w:rsidR="00A04FD4" w:rsidRPr="00561D26" w:rsidRDefault="00A04FD4" w:rsidP="003408E8"/>
    <w:p w14:paraId="1905BB52" w14:textId="0477E4DA" w:rsidR="00DA5B4A" w:rsidRPr="00561D26" w:rsidRDefault="00331A3E" w:rsidP="006E796E">
      <w:r w:rsidRPr="00331A3E">
        <w:t>De absolute uitstoot van de scope 3 emissies is in 2025 gestegen vergeleken 2024. Een van de redenen is de toename in aangekochte goederen en diensten in 2025, waarbij de crediteurenlijst een hoger bedrag had vergeleken 2024 (19 miljoen vs. 15 miljoen binnen de 80%).  </w:t>
      </w:r>
      <w:r w:rsidR="006E796E" w:rsidRPr="00561D26">
        <w:t>Dit komt mede door</w:t>
      </w:r>
      <w:r w:rsidR="006E7276" w:rsidRPr="00561D26">
        <w:t xml:space="preserve">dat Finovi sterke groeit toont in </w:t>
      </w:r>
      <w:r w:rsidR="00B52EE2" w:rsidRPr="00561D26">
        <w:t xml:space="preserve">omzet en dus ook in het aantal </w:t>
      </w:r>
      <w:r w:rsidR="00561D26" w:rsidRPr="00561D26">
        <w:lastRenderedPageBreak/>
        <w:t xml:space="preserve">onderaannemers dat wordt ingehuurd. De directie verwacht dat dit komende jaren zal blijven stijgen. </w:t>
      </w:r>
    </w:p>
    <w:p w14:paraId="0D53D0B3" w14:textId="77777777" w:rsidR="006E796E" w:rsidRDefault="006E796E" w:rsidP="006E796E">
      <w:pPr>
        <w:rPr>
          <w:color w:val="ED7D31" w:themeColor="accent2"/>
        </w:rPr>
      </w:pPr>
    </w:p>
    <w:p w14:paraId="5DE0A2FB" w14:textId="77777777" w:rsidR="006E796E" w:rsidRPr="006E796E" w:rsidRDefault="006E796E" w:rsidP="006E796E">
      <w:pPr>
        <w:rPr>
          <w:color w:val="ED7D31" w:themeColor="accent2"/>
        </w:rPr>
      </w:pPr>
    </w:p>
    <w:p w14:paraId="0BF00B24" w14:textId="77777777" w:rsidR="00D87815" w:rsidRDefault="00217C63" w:rsidP="00D87815">
      <w:pPr>
        <w:rPr>
          <w:b/>
          <w:bCs/>
        </w:rPr>
      </w:pPr>
      <w:r>
        <w:rPr>
          <w:b/>
          <w:bCs/>
        </w:rPr>
        <w:t>Energie</w:t>
      </w:r>
      <w:r w:rsidR="00C35FE9">
        <w:rPr>
          <w:b/>
          <w:bCs/>
        </w:rPr>
        <w:t>verbruik en energiebeoordeling</w:t>
      </w:r>
    </w:p>
    <w:p w14:paraId="6EDF9749" w14:textId="77777777" w:rsidR="00A559BD" w:rsidRDefault="00A559BD" w:rsidP="00D87815">
      <w:pPr>
        <w:rPr>
          <w:b/>
          <w:bCs/>
        </w:rPr>
      </w:pPr>
    </w:p>
    <w:p w14:paraId="49F644C8" w14:textId="41B68CBE" w:rsidR="00A559BD" w:rsidRPr="00561D26" w:rsidRDefault="00A077B6" w:rsidP="00D87815">
      <w:r w:rsidRPr="00561D26">
        <w:t xml:space="preserve">Net als bij de CO2 beoordeling wordt </w:t>
      </w:r>
      <w:r w:rsidR="00846BF5" w:rsidRPr="00561D26">
        <w:t>het grootste aandeel</w:t>
      </w:r>
      <w:r w:rsidRPr="00561D26">
        <w:t xml:space="preserve"> binnen de energiemix gealloceerd aan het dieselverbruik van het wagenpark en het materieel. </w:t>
      </w:r>
      <w:r w:rsidR="006E2F6F" w:rsidRPr="00561D26">
        <w:t xml:space="preserve">Slechts een klein gedeelte wordt veroorzaakt door het elektriciteitsverbruik van het gebouw en de wagens. Vanuit de energiebeoordeling, die geschreven is over het wagenpark en het materieel, </w:t>
      </w:r>
      <w:r w:rsidR="00846BF5" w:rsidRPr="00561D26">
        <w:t xml:space="preserve">zijn de volgende conclusies naar voren gekomen: </w:t>
      </w:r>
    </w:p>
    <w:p w14:paraId="1BB5DB4C" w14:textId="77777777" w:rsidR="00967BE7" w:rsidRPr="00561D26" w:rsidRDefault="00967BE7" w:rsidP="00D87815"/>
    <w:p w14:paraId="282BD638" w14:textId="77777777" w:rsidR="00846BF5" w:rsidRPr="00561D26" w:rsidRDefault="00846BF5" w:rsidP="00846BF5">
      <w:pPr>
        <w:pStyle w:val="Lijstalinea"/>
        <w:numPr>
          <w:ilvl w:val="0"/>
          <w:numId w:val="25"/>
        </w:numPr>
        <w:spacing w:before="120" w:after="120"/>
      </w:pPr>
      <w:r w:rsidRPr="00561D26">
        <w:t>Marktontwikkelingen blijven bijhouden en periodiek contact zoeken met zowel leveranciers als sectorgenoten om ervaringen te wisselen</w:t>
      </w:r>
    </w:p>
    <w:p w14:paraId="34C5FBE2" w14:textId="77777777" w:rsidR="00846BF5" w:rsidRPr="00561D26" w:rsidRDefault="00846BF5" w:rsidP="00846BF5">
      <w:pPr>
        <w:pStyle w:val="Lijstalinea"/>
        <w:numPr>
          <w:ilvl w:val="1"/>
          <w:numId w:val="25"/>
        </w:numPr>
        <w:spacing w:before="120" w:after="120"/>
      </w:pPr>
      <w:r w:rsidRPr="00561D26">
        <w:t>Deelnemen aan beurzen en congressen.</w:t>
      </w:r>
    </w:p>
    <w:p w14:paraId="2A5CE944" w14:textId="77777777" w:rsidR="00846BF5" w:rsidRPr="00561D26" w:rsidRDefault="00846BF5" w:rsidP="00846BF5">
      <w:pPr>
        <w:pStyle w:val="Lijstalinea"/>
        <w:numPr>
          <w:ilvl w:val="0"/>
          <w:numId w:val="25"/>
        </w:numPr>
        <w:spacing w:before="120" w:after="120"/>
      </w:pPr>
      <w:r w:rsidRPr="00561D26">
        <w:t>Bewustwording bij medewerkers creëren, middels:</w:t>
      </w:r>
    </w:p>
    <w:p w14:paraId="496D9937" w14:textId="77777777" w:rsidR="00846BF5" w:rsidRPr="00561D26" w:rsidRDefault="00846BF5" w:rsidP="00846BF5">
      <w:pPr>
        <w:pStyle w:val="Lijstalinea"/>
        <w:numPr>
          <w:ilvl w:val="1"/>
          <w:numId w:val="25"/>
        </w:numPr>
        <w:spacing w:before="120" w:after="120"/>
      </w:pPr>
      <w:r w:rsidRPr="00561D26">
        <w:t>Terugkoppelen van het verbruik;</w:t>
      </w:r>
    </w:p>
    <w:p w14:paraId="0C9B9FB6" w14:textId="77777777" w:rsidR="00846BF5" w:rsidRPr="00561D26" w:rsidRDefault="00846BF5" w:rsidP="00846BF5">
      <w:pPr>
        <w:pStyle w:val="Lijstalinea"/>
        <w:numPr>
          <w:ilvl w:val="1"/>
          <w:numId w:val="25"/>
        </w:numPr>
        <w:spacing w:before="120" w:after="120"/>
      </w:pPr>
      <w:r w:rsidRPr="00561D26">
        <w:t xml:space="preserve">Houden van een </w:t>
      </w:r>
      <w:proofErr w:type="spellStart"/>
      <w:r w:rsidRPr="00561D26">
        <w:t>toolbox</w:t>
      </w:r>
      <w:proofErr w:type="spellEnd"/>
      <w:r w:rsidRPr="00561D26">
        <w:t xml:space="preserve"> over rijgedrag.</w:t>
      </w:r>
    </w:p>
    <w:p w14:paraId="494ABC98" w14:textId="77777777" w:rsidR="00846BF5" w:rsidRPr="00561D26" w:rsidRDefault="00846BF5" w:rsidP="00846BF5">
      <w:pPr>
        <w:pStyle w:val="Lijstalinea"/>
        <w:numPr>
          <w:ilvl w:val="0"/>
          <w:numId w:val="25"/>
        </w:numPr>
        <w:spacing w:before="120" w:after="120"/>
      </w:pPr>
      <w:r w:rsidRPr="00561D26">
        <w:t>Inkoopbeleid opstellen voor het wagenpark, waarin het volgende wordt opgenomen:</w:t>
      </w:r>
    </w:p>
    <w:p w14:paraId="5331E4E4" w14:textId="77777777" w:rsidR="00846BF5" w:rsidRPr="00561D26" w:rsidRDefault="00846BF5" w:rsidP="00846BF5">
      <w:pPr>
        <w:pStyle w:val="Lijstalinea"/>
        <w:numPr>
          <w:ilvl w:val="1"/>
          <w:numId w:val="25"/>
        </w:numPr>
        <w:spacing w:before="120" w:after="120"/>
      </w:pPr>
      <w:r w:rsidRPr="00561D26">
        <w:t>Bij vervanging kiezen voor elektrisch, mits financieel en qua vermogen realistisch;</w:t>
      </w:r>
    </w:p>
    <w:p w14:paraId="3C26D838" w14:textId="77777777" w:rsidR="00846BF5" w:rsidRPr="00561D26" w:rsidRDefault="00846BF5" w:rsidP="00846BF5">
      <w:pPr>
        <w:pStyle w:val="Lijstalinea"/>
        <w:numPr>
          <w:ilvl w:val="1"/>
          <w:numId w:val="25"/>
        </w:numPr>
        <w:spacing w:before="120" w:after="120"/>
      </w:pPr>
      <w:r w:rsidRPr="00561D26">
        <w:t>Indien elektrisch niet mogelijk is, minimaal EURO 6 motor en/of maximale CO</w:t>
      </w:r>
      <w:r w:rsidRPr="00561D26">
        <w:rPr>
          <w:vertAlign w:val="subscript"/>
        </w:rPr>
        <w:t>2</w:t>
      </w:r>
      <w:r w:rsidRPr="00561D26">
        <w:t>-uitstoot per gereden kilometer.</w:t>
      </w:r>
    </w:p>
    <w:p w14:paraId="3941AA92" w14:textId="77777777" w:rsidR="00846BF5" w:rsidRPr="00561D26" w:rsidRDefault="00846BF5" w:rsidP="00846BF5">
      <w:pPr>
        <w:pStyle w:val="Lijstalinea"/>
        <w:numPr>
          <w:ilvl w:val="0"/>
          <w:numId w:val="25"/>
        </w:numPr>
        <w:spacing w:before="120" w:after="120"/>
        <w:rPr>
          <w:szCs w:val="20"/>
        </w:rPr>
      </w:pPr>
      <w:r w:rsidRPr="00561D26">
        <w:t>Inzetten van HVO bij specifieke projecten.</w:t>
      </w:r>
    </w:p>
    <w:p w14:paraId="6AE8571C" w14:textId="1B91D2DC" w:rsidR="00BE38FD" w:rsidRPr="00561D26" w:rsidRDefault="00846BF5" w:rsidP="00846BF5">
      <w:pPr>
        <w:pStyle w:val="Lijstalinea"/>
        <w:numPr>
          <w:ilvl w:val="0"/>
          <w:numId w:val="25"/>
        </w:numPr>
      </w:pPr>
      <w:r w:rsidRPr="00561D26">
        <w:t xml:space="preserve">Blijvend inschrijven op projecten waarbij het toepassen van HVO verplicht is. </w:t>
      </w:r>
    </w:p>
    <w:p w14:paraId="6E62B8D7" w14:textId="77777777" w:rsidR="00BE38FD" w:rsidRPr="00BA7CFA" w:rsidRDefault="00BE38FD" w:rsidP="00BE38FD"/>
    <w:p w14:paraId="3D4F0C78" w14:textId="617C14FD" w:rsidR="00734810" w:rsidRDefault="00734810" w:rsidP="00BE38FD"/>
    <w:p w14:paraId="45CF49E9" w14:textId="77777777" w:rsidR="00A559BD" w:rsidRDefault="00A559BD" w:rsidP="00BE38FD"/>
    <w:p w14:paraId="1C9E2A3E" w14:textId="77777777" w:rsidR="00196228" w:rsidRPr="00196228" w:rsidRDefault="00196228" w:rsidP="00734810">
      <w:pPr>
        <w:rPr>
          <w:b/>
          <w:bCs/>
        </w:rPr>
      </w:pPr>
      <w:r w:rsidRPr="00196228">
        <w:rPr>
          <w:b/>
          <w:bCs/>
        </w:rPr>
        <w:t>CO</w:t>
      </w:r>
      <w:r w:rsidRPr="00196228">
        <w:rPr>
          <w:b/>
          <w:bCs/>
          <w:vertAlign w:val="subscript"/>
        </w:rPr>
        <w:t>2</w:t>
      </w:r>
      <w:r>
        <w:rPr>
          <w:b/>
          <w:bCs/>
        </w:rPr>
        <w:t>-</w:t>
      </w:r>
      <w:r w:rsidR="001E7EB4">
        <w:rPr>
          <w:b/>
          <w:bCs/>
        </w:rPr>
        <w:t>reductiedoelstelling</w:t>
      </w:r>
      <w:r w:rsidR="00C35FE9">
        <w:rPr>
          <w:b/>
          <w:bCs/>
        </w:rPr>
        <w:t xml:space="preserve"> en voortgang</w:t>
      </w:r>
    </w:p>
    <w:p w14:paraId="7AC74D68" w14:textId="7DE27973" w:rsidR="00C35FE9" w:rsidRPr="00C35FE9" w:rsidRDefault="00C35FE9" w:rsidP="00FF4E78">
      <w:pPr>
        <w:rPr>
          <w:color w:val="000000" w:themeColor="text1"/>
        </w:rPr>
      </w:pPr>
      <w:r>
        <w:t>Zie paragraaf</w:t>
      </w:r>
      <w:r w:rsidRPr="61409F41">
        <w:rPr>
          <w:color w:val="6BBE93"/>
        </w:rPr>
        <w:t xml:space="preserve"> </w:t>
      </w:r>
      <w:hyperlink w:anchor="_CO2-reductiedoelstellingen_en_voort">
        <w:r w:rsidR="00D64CFF">
          <w:rPr>
            <w:rStyle w:val="Hyperlink"/>
            <w:color w:val="6BBE93"/>
          </w:rPr>
          <w:t>5</w:t>
        </w:r>
        <w:r w:rsidRPr="61409F41">
          <w:rPr>
            <w:rStyle w:val="Hyperlink"/>
            <w:color w:val="6BBE93"/>
          </w:rPr>
          <w:t>.2</w:t>
        </w:r>
      </w:hyperlink>
      <w:r w:rsidRPr="61409F41">
        <w:rPr>
          <w:color w:val="000000" w:themeColor="text1"/>
        </w:rPr>
        <w:t xml:space="preserve">. </w:t>
      </w:r>
    </w:p>
    <w:p w14:paraId="22337034" w14:textId="77777777" w:rsidR="00F05729" w:rsidRDefault="00F05729" w:rsidP="61409F41">
      <w:pPr>
        <w:rPr>
          <w:color w:val="ED7D31" w:themeColor="accent2"/>
        </w:rPr>
      </w:pPr>
    </w:p>
    <w:p w14:paraId="396A3EFE" w14:textId="1E30BDE3" w:rsidR="00BE5410" w:rsidRPr="00E40BBA" w:rsidRDefault="006B1A0E" w:rsidP="00AF4DB6">
      <w:pPr>
        <w:rPr>
          <w:color w:val="ED7D31" w:themeColor="accent2"/>
        </w:rPr>
      </w:pPr>
      <w:r w:rsidRPr="00E40BBA">
        <w:t xml:space="preserve">Zoals in paragraaf 2.2.1 hierboven is beschreven, heeft Finovi een </w:t>
      </w:r>
      <w:r w:rsidR="00D97D17" w:rsidRPr="00E40BBA">
        <w:t>stijging in absolute uitstoot, maar een daling in relatieve uitstoot. Er wordt komend jaar ingezet op groene stroom, waardoor de uitstoot nog verder zal dale</w:t>
      </w:r>
      <w:r w:rsidR="00E40BBA" w:rsidRPr="00E40BBA">
        <w:t>n. De directie heeft vertrouwen dat de opgestelde doelstelling gehaald wordt.</w:t>
      </w:r>
      <w:r w:rsidR="00E40BBA" w:rsidRPr="00E40BBA">
        <w:rPr>
          <w:color w:val="ED7D31" w:themeColor="accent2"/>
        </w:rPr>
        <w:t xml:space="preserve"> </w:t>
      </w:r>
    </w:p>
    <w:p w14:paraId="1998FAEB" w14:textId="77777777" w:rsidR="00B44E65" w:rsidRPr="007D17AE" w:rsidRDefault="00B44E65" w:rsidP="61409F41">
      <w:pPr>
        <w:rPr>
          <w:color w:val="ED7D31" w:themeColor="accent2"/>
        </w:rPr>
      </w:pPr>
    </w:p>
    <w:p w14:paraId="74706FC3" w14:textId="77777777" w:rsidR="00196228" w:rsidRDefault="00196228" w:rsidP="00FF4E78"/>
    <w:p w14:paraId="187C8FA4" w14:textId="77777777" w:rsidR="001E7EB4" w:rsidRPr="001E7EB4" w:rsidRDefault="001E7EB4" w:rsidP="00FF4E78">
      <w:pPr>
        <w:rPr>
          <w:b/>
          <w:bCs/>
        </w:rPr>
      </w:pPr>
      <w:r>
        <w:rPr>
          <w:b/>
          <w:bCs/>
        </w:rPr>
        <w:t xml:space="preserve">Energie reductiedoelstelling </w:t>
      </w:r>
    </w:p>
    <w:p w14:paraId="7D9F4D88" w14:textId="4371DACB" w:rsidR="005B1065" w:rsidRDefault="005B1065" w:rsidP="00FF4E78">
      <w:pPr>
        <w:rPr>
          <w:color w:val="000000" w:themeColor="text1"/>
        </w:rPr>
      </w:pPr>
      <w:r>
        <w:t xml:space="preserve">Zie paragraaf </w:t>
      </w:r>
      <w:hyperlink w:anchor="_Energiebeoordeling" w:history="1">
        <w:r w:rsidR="00D64CFF">
          <w:rPr>
            <w:rStyle w:val="Hyperlink"/>
            <w:color w:val="6BBE93"/>
          </w:rPr>
          <w:t>5</w:t>
        </w:r>
        <w:r w:rsidRPr="005B1065">
          <w:rPr>
            <w:rStyle w:val="Hyperlink"/>
            <w:color w:val="6BBE93"/>
          </w:rPr>
          <w:t>.3</w:t>
        </w:r>
      </w:hyperlink>
      <w:r>
        <w:rPr>
          <w:color w:val="000000" w:themeColor="text1"/>
        </w:rPr>
        <w:t xml:space="preserve">. </w:t>
      </w:r>
      <w:r w:rsidR="00D34642">
        <w:rPr>
          <w:color w:val="000000" w:themeColor="text1"/>
        </w:rPr>
        <w:t xml:space="preserve"> </w:t>
      </w:r>
    </w:p>
    <w:p w14:paraId="73043DB2" w14:textId="20D449F0" w:rsidR="00BE38FD" w:rsidRPr="00292551" w:rsidRDefault="00C07355" w:rsidP="00292551">
      <w:r w:rsidRPr="00292551">
        <w:t xml:space="preserve">Finovi heeft afgelopen jaar de energiedoelstelling herzien naar 50% reductie in 2026 gerelateerd aan de omzet. Door de verhuizing naar het nieuwe kantoorgebouw en het toepassen van elektrische voertuigen is een flinke daling in energie verbruik </w:t>
      </w:r>
      <w:proofErr w:type="spellStart"/>
      <w:r w:rsidRPr="00292551">
        <w:t>gerelasieerd</w:t>
      </w:r>
      <w:proofErr w:type="spellEnd"/>
      <w:r w:rsidRPr="00292551">
        <w:t>. In dit rapportagejaar is wel voor het eerst het aantal kWh</w:t>
      </w:r>
      <w:r w:rsidR="00327894" w:rsidRPr="00292551">
        <w:t xml:space="preserve"> </w:t>
      </w:r>
      <w:proofErr w:type="spellStart"/>
      <w:r w:rsidR="00327894" w:rsidRPr="00292551">
        <w:t>opgewekking</w:t>
      </w:r>
      <w:proofErr w:type="spellEnd"/>
      <w:r w:rsidR="00327894" w:rsidRPr="00292551">
        <w:t xml:space="preserve"> meegenomen in de energiebalans. Dit zorgt voor een meer </w:t>
      </w:r>
      <w:proofErr w:type="spellStart"/>
      <w:r w:rsidR="00327894" w:rsidRPr="00292551">
        <w:t>relatisch</w:t>
      </w:r>
      <w:proofErr w:type="spellEnd"/>
      <w:r w:rsidR="00327894" w:rsidRPr="00292551">
        <w:t xml:space="preserve"> beeld van het verbruik, maar zorgt inherent ook voor een stijging in de totale balans. </w:t>
      </w:r>
      <w:r w:rsidR="00292551" w:rsidRPr="00292551">
        <w:t>Toch heeft </w:t>
      </w:r>
      <w:proofErr w:type="spellStart"/>
      <w:r w:rsidR="00292551" w:rsidRPr="00292551">
        <w:t>Finivo</w:t>
      </w:r>
      <w:proofErr w:type="spellEnd"/>
      <w:r w:rsidR="00292551" w:rsidRPr="00292551">
        <w:t>, ondanks deze inclusie, een reductie behaald van 44% wat in lijn ligt met de doelstelling van 50% in 2026. </w:t>
      </w:r>
    </w:p>
    <w:p w14:paraId="0AB58256" w14:textId="77777777" w:rsidR="00937D8D" w:rsidRDefault="00937D8D" w:rsidP="00FF4E78"/>
    <w:p w14:paraId="7055E5D8" w14:textId="77777777" w:rsidR="00FF4E78" w:rsidRDefault="00FF4E78" w:rsidP="00FF4E78">
      <w:pPr>
        <w:pStyle w:val="Kop3"/>
      </w:pPr>
      <w:bookmarkStart w:id="17" w:name="_Toc118736216"/>
      <w:bookmarkStart w:id="18" w:name="_Toc142472101"/>
      <w:r>
        <w:t>Communicatie</w:t>
      </w:r>
      <w:bookmarkEnd w:id="17"/>
      <w:bookmarkEnd w:id="18"/>
      <w:r>
        <w:t xml:space="preserve"> </w:t>
      </w:r>
    </w:p>
    <w:p w14:paraId="2A5F900C" w14:textId="26F5D6B3" w:rsidR="00BC60AF" w:rsidRPr="00CC3532" w:rsidRDefault="00C571C7" w:rsidP="00BC60AF">
      <w:r w:rsidRPr="00CC3532">
        <w:t>Er wordt tenminste halfjaarlijks intern en extern gecommuniceerd over de CO</w:t>
      </w:r>
      <w:r w:rsidRPr="00CC3532">
        <w:rPr>
          <w:vertAlign w:val="subscript"/>
        </w:rPr>
        <w:t>2</w:t>
      </w:r>
      <w:r w:rsidRPr="00CC3532">
        <w:t>-</w:t>
      </w:r>
      <w:r w:rsidR="00401E34" w:rsidRPr="00CC3532">
        <w:t>footprint</w:t>
      </w:r>
      <w:r w:rsidRPr="00CC3532">
        <w:t xml:space="preserve">, de voortgang van het plan van aanpak en </w:t>
      </w:r>
      <w:r w:rsidR="00FC41CC" w:rsidRPr="00CC3532">
        <w:t>de doelstellingen</w:t>
      </w:r>
      <w:r w:rsidR="00010908" w:rsidRPr="00CC3532">
        <w:t xml:space="preserve">, </w:t>
      </w:r>
      <w:r w:rsidR="00FC41CC" w:rsidRPr="00CC3532">
        <w:t xml:space="preserve">de </w:t>
      </w:r>
      <w:r w:rsidRPr="00CC3532">
        <w:t>mogelijkheid van individuele bijdrage van medewerkers</w:t>
      </w:r>
      <w:r w:rsidR="00010908" w:rsidRPr="00CC3532">
        <w:t xml:space="preserve"> en de initiatieven.</w:t>
      </w:r>
      <w:r w:rsidRPr="00CC3532">
        <w:t xml:space="preserve"> </w:t>
      </w:r>
      <w:r w:rsidR="00703AC1" w:rsidRPr="00CC3532">
        <w:t xml:space="preserve">Dit gebeurt </w:t>
      </w:r>
      <w:proofErr w:type="gramStart"/>
      <w:r w:rsidR="007C1288" w:rsidRPr="00CC3532">
        <w:t>conform</w:t>
      </w:r>
      <w:proofErr w:type="gramEnd"/>
      <w:r w:rsidR="007C1288" w:rsidRPr="00CC3532">
        <w:t xml:space="preserve"> het hiervoor opgestelde communicatieplan.</w:t>
      </w:r>
      <w:r w:rsidR="00703AC1" w:rsidRPr="00CC3532">
        <w:t xml:space="preserve"> </w:t>
      </w:r>
      <w:r w:rsidR="00A51347" w:rsidRPr="00CC3532">
        <w:t xml:space="preserve">Deze communicatie omvat ook de projecten met gunningvoordeel indien aanwezig. </w:t>
      </w:r>
      <w:r w:rsidR="009753DE" w:rsidRPr="00CC3532">
        <w:t>Daarnaast word</w:t>
      </w:r>
      <w:r w:rsidR="005655CE" w:rsidRPr="00CC3532">
        <w:t>en</w:t>
      </w:r>
      <w:r w:rsidR="009753DE" w:rsidRPr="00CC3532">
        <w:t xml:space="preserve"> op de website van de SKAO en op de eigen website de verplichte internetpublicaties </w:t>
      </w:r>
      <w:r w:rsidR="005655CE" w:rsidRPr="00CC3532">
        <w:t>geplaats</w:t>
      </w:r>
      <w:r w:rsidR="007C1288" w:rsidRPr="00CC3532">
        <w:t>t</w:t>
      </w:r>
      <w:r w:rsidR="005655CE" w:rsidRPr="00CC3532">
        <w:t>.</w:t>
      </w:r>
      <w:r w:rsidR="00F21C6E" w:rsidRPr="00CC3532">
        <w:t xml:space="preserve"> </w:t>
      </w:r>
    </w:p>
    <w:p w14:paraId="502548B8" w14:textId="77777777" w:rsidR="008E11B4" w:rsidRPr="00CC3532" w:rsidRDefault="008E11B4" w:rsidP="008E161B"/>
    <w:p w14:paraId="2A7355B9" w14:textId="391D28E6" w:rsidR="00253022" w:rsidRPr="00CC3532" w:rsidRDefault="00253022" w:rsidP="008E161B">
      <w:r w:rsidRPr="00CC3532">
        <w:t xml:space="preserve">De halfjaarlijkse communicatie heeft plaatsgevonden in </w:t>
      </w:r>
      <w:r w:rsidR="002429EC" w:rsidRPr="00CC3532">
        <w:t xml:space="preserve">januari 2026 wat </w:t>
      </w:r>
      <w:r w:rsidR="00CC3532">
        <w:t xml:space="preserve">iets </w:t>
      </w:r>
      <w:r w:rsidR="002429EC" w:rsidRPr="00CC3532">
        <w:t>later is dan gepland.</w:t>
      </w:r>
      <w:r w:rsidR="00974BCD" w:rsidRPr="00974BCD">
        <w:t xml:space="preserve"> </w:t>
      </w:r>
      <w:r w:rsidR="00974BCD">
        <w:t>Dit komt door er</w:t>
      </w:r>
      <w:r w:rsidR="00974BCD" w:rsidRPr="00974BCD">
        <w:t xml:space="preserve"> onzekerheid </w:t>
      </w:r>
      <w:r w:rsidR="00974BCD">
        <w:t xml:space="preserve">bestond </w:t>
      </w:r>
      <w:r w:rsidR="00974BCD" w:rsidRPr="00974BCD">
        <w:t>of Finovi door zou gaan met de CO2-PL</w:t>
      </w:r>
      <w:r w:rsidR="00974BCD">
        <w:t>, toch is uiteindelijk besloten om toch het certificaat te continueren. Dit heeft</w:t>
      </w:r>
      <w:r w:rsidR="002429EC" w:rsidRPr="00CC3532">
        <w:t xml:space="preserve"> volgens de directie geen effect op het managementsysteem. Er wordt daarom geen directie verbeteractie aan gekoppeld. </w:t>
      </w:r>
    </w:p>
    <w:p w14:paraId="4DCF9468" w14:textId="77777777" w:rsidR="002429EC" w:rsidRPr="00CC3532" w:rsidRDefault="002429EC" w:rsidP="008E161B"/>
    <w:p w14:paraId="70017A24" w14:textId="7EB7A74A" w:rsidR="002429EC" w:rsidRPr="00CC3532" w:rsidRDefault="002429EC" w:rsidP="008E161B">
      <w:r w:rsidRPr="00CC3532">
        <w:t xml:space="preserve">De jaarlijkse communicatie heeft in mei 2026 plaatsgevonden volgens </w:t>
      </w:r>
      <w:r w:rsidR="00CC3532" w:rsidRPr="00CC3532">
        <w:t xml:space="preserve">planning. </w:t>
      </w:r>
    </w:p>
    <w:p w14:paraId="5ACE5A35" w14:textId="06008A61" w:rsidR="34211287" w:rsidRDefault="34211287"/>
    <w:p w14:paraId="6761F842" w14:textId="3D993D60" w:rsidR="34211287" w:rsidRDefault="34211287"/>
    <w:p w14:paraId="5CA2685F" w14:textId="77777777" w:rsidR="004937F1" w:rsidRDefault="004937F1" w:rsidP="004937F1">
      <w:pPr>
        <w:pStyle w:val="Kop3"/>
      </w:pPr>
      <w:bookmarkStart w:id="19" w:name="_Toc118736217"/>
      <w:bookmarkStart w:id="20" w:name="_Toc142472102"/>
      <w:r>
        <w:t>Initiatieven</w:t>
      </w:r>
      <w:bookmarkEnd w:id="19"/>
      <w:bookmarkEnd w:id="20"/>
    </w:p>
    <w:p w14:paraId="52457A4C" w14:textId="64AE0621" w:rsidR="00041129" w:rsidRPr="00CC3532" w:rsidRDefault="00D719F5" w:rsidP="6A8E952E">
      <w:r>
        <w:t xml:space="preserve">Er wordt actief deelgenomen aan </w:t>
      </w:r>
      <w:r w:rsidR="027C6E11">
        <w:t xml:space="preserve">werkgroepen en </w:t>
      </w:r>
      <w:r w:rsidR="00B00B52">
        <w:t xml:space="preserve">aan beurzen en congressen. </w:t>
      </w:r>
      <w:r>
        <w:t xml:space="preserve"> Het doel van deze deelname is het uitwisselen van kennis </w:t>
      </w:r>
      <w:r w:rsidR="005176B4">
        <w:t xml:space="preserve">en stimuleren van innovatie </w:t>
      </w:r>
      <w:proofErr w:type="gramStart"/>
      <w:r w:rsidR="005176B4">
        <w:t>omtrent</w:t>
      </w:r>
      <w:proofErr w:type="gramEnd"/>
      <w:r w:rsidR="005176B4">
        <w:t xml:space="preserve"> CO</w:t>
      </w:r>
      <w:r w:rsidR="005176B4" w:rsidRPr="0F5527D0">
        <w:rPr>
          <w:vertAlign w:val="subscript"/>
        </w:rPr>
        <w:t>2</w:t>
      </w:r>
      <w:r w:rsidR="005176B4">
        <w:t>-reductie</w:t>
      </w:r>
      <w:r w:rsidR="00C050D2">
        <w:t xml:space="preserve">. </w:t>
      </w:r>
      <w:r w:rsidR="7B91A97B">
        <w:t xml:space="preserve">Voor alle initiatieven </w:t>
      </w:r>
      <w:r w:rsidR="005176B4">
        <w:t>wordt jaarlijks een budget vrijgemaakt, wat in deze directiebeoordeling geaccordeerd wordt.</w:t>
      </w:r>
      <w:r w:rsidR="0034012B">
        <w:t xml:space="preserve"> </w:t>
      </w:r>
    </w:p>
    <w:p w14:paraId="2EF05E32" w14:textId="09926515" w:rsidR="49A8A050" w:rsidRPr="00A31656" w:rsidRDefault="02CDC11E" w:rsidP="0F5527D0">
      <w:r w:rsidRPr="0F5527D0">
        <w:rPr>
          <w:rFonts w:eastAsia="Verdana" w:cs="Verdana"/>
          <w:color w:val="6ABF94"/>
          <w:sz w:val="32"/>
          <w:szCs w:val="32"/>
        </w:rPr>
        <w:t>Participatie sector- en keteninitiatieven</w:t>
      </w:r>
    </w:p>
    <w:p w14:paraId="3476E341" w14:textId="7F8865AD" w:rsidR="49A8A050" w:rsidRPr="00A31656" w:rsidRDefault="02CDC11E" w:rsidP="0F5527D0">
      <w:r w:rsidRPr="0F5527D0">
        <w:rPr>
          <w:rFonts w:eastAsia="Verdana" w:cs="Verdana"/>
          <w:szCs w:val="19"/>
        </w:rPr>
        <w:t xml:space="preserve"> </w:t>
      </w:r>
    </w:p>
    <w:p w14:paraId="081E2E5E" w14:textId="10B565CB" w:rsidR="49A8A050" w:rsidRPr="00A31656" w:rsidRDefault="02CDC11E" w:rsidP="0F5527D0">
      <w:r w:rsidRPr="0F5527D0">
        <w:rPr>
          <w:rFonts w:eastAsia="Verdana" w:cs="Verdana"/>
          <w:szCs w:val="19"/>
        </w:rPr>
        <w:t>Vanuit de CO</w:t>
      </w:r>
      <w:r w:rsidRPr="0F5527D0">
        <w:rPr>
          <w:rFonts w:eastAsia="Verdana" w:cs="Verdana"/>
          <w:szCs w:val="19"/>
          <w:vertAlign w:val="subscript"/>
        </w:rPr>
        <w:t>2</w:t>
      </w:r>
      <w:r w:rsidRPr="0F5527D0">
        <w:rPr>
          <w:rFonts w:eastAsia="Verdana" w:cs="Verdana"/>
          <w:szCs w:val="19"/>
        </w:rPr>
        <w:t>-Prestatieladder wordt gevraagd om deelname aan een sector- of keteninitiatief. De organisatie dient zich daarbij op de hoogte te stellen van de initiatieven die binnen de branche spelen.</w:t>
      </w:r>
    </w:p>
    <w:p w14:paraId="6538C7E6" w14:textId="719DFFDD" w:rsidR="49A8A050" w:rsidRPr="00A31656" w:rsidRDefault="02CDC11E" w:rsidP="0F5527D0">
      <w:pPr>
        <w:pStyle w:val="Kop1"/>
        <w:rPr>
          <w:rFonts w:eastAsia="Verdana" w:cs="Verdana"/>
        </w:rPr>
      </w:pPr>
      <w:r w:rsidRPr="0F5527D0">
        <w:rPr>
          <w:rFonts w:eastAsia="Verdana" w:cs="Verdana"/>
        </w:rPr>
        <w:t>Inventarisatie sector- en keteninitiatieven</w:t>
      </w:r>
    </w:p>
    <w:p w14:paraId="1E131041" w14:textId="012F8131" w:rsidR="49A8A050" w:rsidRPr="00A31656" w:rsidRDefault="02CDC11E" w:rsidP="0F5527D0">
      <w:r w:rsidRPr="0F5527D0">
        <w:rPr>
          <w:rFonts w:eastAsia="Verdana" w:cs="Verdana"/>
          <w:szCs w:val="19"/>
        </w:rPr>
        <w:t xml:space="preserve">Vanuit de </w:t>
      </w:r>
      <w:proofErr w:type="gramStart"/>
      <w:r w:rsidRPr="0F5527D0">
        <w:rPr>
          <w:rFonts w:eastAsia="Verdana" w:cs="Verdana"/>
          <w:szCs w:val="19"/>
        </w:rPr>
        <w:t>reeds</w:t>
      </w:r>
      <w:proofErr w:type="gramEnd"/>
      <w:r w:rsidRPr="0F5527D0">
        <w:rPr>
          <w:rFonts w:eastAsia="Verdana" w:cs="Verdana"/>
          <w:szCs w:val="19"/>
        </w:rPr>
        <w:t xml:space="preserve"> bestaande contacten met sectorgenoten en/of ketenpartners is de organisatie goed op de hoogte van de initiatieven die er spelen. Finovi wordt vanuit haar expertise regelmatig gevraagd om incidenteel of in vast verband te participeren in verschillende samenwerkingsvormen of kennissessies. Verder is het ook een streven van Finovi om steeds meer te gaan werken in bouwteams, waarbij verschillende ketenpartners, opdrachtgevers en leveranciers samenwerken naar een projectresultaat.</w:t>
      </w:r>
    </w:p>
    <w:p w14:paraId="37462F0B" w14:textId="335C0E69" w:rsidR="49A8A050" w:rsidRPr="00A31656" w:rsidRDefault="02CDC11E" w:rsidP="0F5527D0">
      <w:r w:rsidRPr="0F5527D0">
        <w:rPr>
          <w:rFonts w:eastAsia="Verdana" w:cs="Verdana"/>
          <w:szCs w:val="19"/>
        </w:rPr>
        <w:t xml:space="preserve">Jaarlijks wordt door de projectleider en het management geëvalueerd of deelname aan de initiatieven nog steeds als relevant en actueel wordt gezien en/of dat er eventuele andere geschikte initiatieven van toepassing kunnen zijn. </w:t>
      </w:r>
    </w:p>
    <w:p w14:paraId="1A984D84" w14:textId="10DE38D5" w:rsidR="49A8A050" w:rsidRPr="00A31656" w:rsidRDefault="02CDC11E" w:rsidP="0F5527D0">
      <w:pPr>
        <w:pStyle w:val="Kop1"/>
        <w:rPr>
          <w:rFonts w:eastAsia="Verdana" w:cs="Verdana"/>
        </w:rPr>
      </w:pPr>
      <w:r w:rsidRPr="0F5527D0">
        <w:rPr>
          <w:rFonts w:eastAsia="Verdana" w:cs="Verdana"/>
        </w:rPr>
        <w:t>Actieve deelname</w:t>
      </w:r>
    </w:p>
    <w:p w14:paraId="39A613B2" w14:textId="083477C6" w:rsidR="49A8A050" w:rsidRPr="00A31656" w:rsidRDefault="02CDC11E" w:rsidP="0F5527D0">
      <w:r w:rsidRPr="4DCEF229">
        <w:rPr>
          <w:rFonts w:eastAsia="Verdana" w:cs="Verdana"/>
          <w:szCs w:val="19"/>
        </w:rPr>
        <w:t>De gedachte achter deelname aan een initiatief is dat door interactie met andere bedrijven en overheden informatie kan worden uitgewisseld en in samenwerking nieuwe ideeën en ontwikkelingen op het gebied van CO</w:t>
      </w:r>
      <w:r w:rsidRPr="4DCEF229">
        <w:rPr>
          <w:rFonts w:eastAsia="Verdana" w:cs="Verdana"/>
          <w:szCs w:val="19"/>
          <w:vertAlign w:val="subscript"/>
        </w:rPr>
        <w:t>2</w:t>
      </w:r>
      <w:r w:rsidRPr="4DCEF229">
        <w:rPr>
          <w:rFonts w:eastAsia="Verdana" w:cs="Verdana"/>
          <w:szCs w:val="19"/>
        </w:rPr>
        <w:t xml:space="preserve">-reductie tot stand kunnen komen. Vanuit dit doel vraagt de norm van de SKAO om een actieve deelname, </w:t>
      </w:r>
      <w:proofErr w:type="gramStart"/>
      <w:r w:rsidRPr="4DCEF229">
        <w:rPr>
          <w:rFonts w:eastAsia="Verdana" w:cs="Verdana"/>
          <w:szCs w:val="19"/>
        </w:rPr>
        <w:t>middels</w:t>
      </w:r>
      <w:proofErr w:type="gramEnd"/>
      <w:r w:rsidRPr="4DCEF229">
        <w:rPr>
          <w:rFonts w:eastAsia="Verdana" w:cs="Verdana"/>
          <w:szCs w:val="19"/>
        </w:rPr>
        <w:t xml:space="preserve"> bijvoorbeeld werkgroepen. Verslagen van bijeenkomsten en van overlegmomenten en presentaties van de organisatie in de werkgroep kunnen tegenover de auditor dienen als bewijs van actieve deelname.</w:t>
      </w:r>
    </w:p>
    <w:p w14:paraId="72B08352" w14:textId="68483F4A" w:rsidR="4DCEF229" w:rsidRDefault="4DCEF229" w:rsidP="4DCEF229">
      <w:pPr>
        <w:rPr>
          <w:rFonts w:eastAsia="Verdana" w:cs="Verdana"/>
          <w:szCs w:val="19"/>
        </w:rPr>
      </w:pPr>
    </w:p>
    <w:p w14:paraId="4E337D1F" w14:textId="5987B7E4" w:rsidR="4DCEF229" w:rsidRDefault="4DCEF229" w:rsidP="4DCEF229">
      <w:pPr>
        <w:rPr>
          <w:rFonts w:eastAsia="Verdana" w:cs="Verdana"/>
          <w:szCs w:val="19"/>
        </w:rPr>
      </w:pPr>
    </w:p>
    <w:p w14:paraId="11FD8741" w14:textId="2089DC0F" w:rsidR="49A8A050" w:rsidRPr="00A31656" w:rsidRDefault="02CDC11E" w:rsidP="0F5527D0">
      <w:pPr>
        <w:pStyle w:val="Kop1"/>
        <w:rPr>
          <w:rFonts w:eastAsia="Verdana" w:cs="Verdana"/>
        </w:rPr>
      </w:pPr>
      <w:r w:rsidRPr="0F5527D0">
        <w:rPr>
          <w:rFonts w:eastAsia="Verdana" w:cs="Verdana"/>
        </w:rPr>
        <w:t>Lopende initiatieven</w:t>
      </w:r>
    </w:p>
    <w:p w14:paraId="56F89DEB" w14:textId="5319870C" w:rsidR="49A8A050" w:rsidRPr="00A31656" w:rsidRDefault="02CDC11E" w:rsidP="0F5527D0">
      <w:r w:rsidRPr="0F5527D0">
        <w:rPr>
          <w:rFonts w:eastAsia="Verdana" w:cs="Verdana"/>
          <w:szCs w:val="19"/>
        </w:rPr>
        <w:t xml:space="preserve"> </w:t>
      </w:r>
    </w:p>
    <w:p w14:paraId="49213EF7" w14:textId="0032C2CD" w:rsidR="49A8A050" w:rsidRPr="00A31656" w:rsidRDefault="02CDC11E" w:rsidP="0F5527D0">
      <w:pPr>
        <w:spacing w:before="120" w:after="120"/>
        <w:ind w:left="720" w:hanging="360"/>
        <w:jc w:val="left"/>
      </w:pPr>
      <w:r w:rsidRPr="0F5527D0">
        <w:rPr>
          <w:rFonts w:eastAsia="Verdana" w:cs="Verdana"/>
          <w:b/>
          <w:bCs/>
          <w:szCs w:val="19"/>
        </w:rPr>
        <w:t xml:space="preserve">Werkgroep circulariteit </w:t>
      </w:r>
    </w:p>
    <w:p w14:paraId="5CFA2F19" w14:textId="3D1B5AD3" w:rsidR="49A8A050" w:rsidRPr="00A31656" w:rsidRDefault="02CDC11E" w:rsidP="0F5527D0">
      <w:r w:rsidRPr="0F5527D0">
        <w:rPr>
          <w:rFonts w:eastAsia="Verdana" w:cs="Verdana"/>
          <w:szCs w:val="19"/>
        </w:rPr>
        <w:t xml:space="preserve">Teun Wouters is vanuit Finovi is al gedurende enige tijd voorzitter van deze werkgroep. Deze werkgroep is tot stand gekomen vanuit de </w:t>
      </w:r>
      <w:proofErr w:type="spellStart"/>
      <w:r w:rsidRPr="0F5527D0">
        <w:rPr>
          <w:rFonts w:eastAsia="Verdana" w:cs="Verdana"/>
          <w:szCs w:val="19"/>
        </w:rPr>
        <w:t>Brancheverening</w:t>
      </w:r>
      <w:proofErr w:type="spellEnd"/>
      <w:r w:rsidRPr="0F5527D0">
        <w:rPr>
          <w:rFonts w:eastAsia="Verdana" w:cs="Verdana"/>
          <w:szCs w:val="19"/>
        </w:rPr>
        <w:t xml:space="preserve">, waarin het de loskoppeling van </w:t>
      </w:r>
      <w:proofErr w:type="spellStart"/>
      <w:r w:rsidRPr="0F5527D0">
        <w:rPr>
          <w:rFonts w:eastAsia="Verdana" w:cs="Verdana"/>
          <w:szCs w:val="19"/>
        </w:rPr>
        <w:t>virgin</w:t>
      </w:r>
      <w:proofErr w:type="spellEnd"/>
      <w:r w:rsidRPr="0F5527D0">
        <w:rPr>
          <w:rFonts w:eastAsia="Verdana" w:cs="Verdana"/>
          <w:szCs w:val="19"/>
        </w:rPr>
        <w:t>-grondstoffen een belangrijk thema is. Een van de producten in deze werkgroep is een recent opgestelde handreiking over de renovatie en ombouw van kunstgrasvelden. Verschillende partijen in de branche nemen deel aan deze werkgroep.</w:t>
      </w:r>
    </w:p>
    <w:p w14:paraId="50C132B2" w14:textId="69610B50" w:rsidR="49A8A050" w:rsidRPr="00A31656" w:rsidRDefault="02CDC11E" w:rsidP="0F5527D0">
      <w:r w:rsidRPr="0F5527D0">
        <w:rPr>
          <w:rFonts w:eastAsia="Verdana" w:cs="Verdana"/>
          <w:szCs w:val="19"/>
        </w:rPr>
        <w:t xml:space="preserve"> </w:t>
      </w:r>
    </w:p>
    <w:p w14:paraId="45878DF3" w14:textId="14CDF481" w:rsidR="49A8A050" w:rsidRPr="00A31656" w:rsidRDefault="02CDC11E" w:rsidP="0F5527D0">
      <w:r w:rsidRPr="0F5527D0">
        <w:rPr>
          <w:rFonts w:eastAsia="Verdana" w:cs="Verdana"/>
          <w:szCs w:val="19"/>
        </w:rPr>
        <w:t xml:space="preserve">Naast deze werkgroep zijn er verschillende werkgroepen waaraan Finovi heeft deelgenomen. De rol als deelnemer is veelal gevuld door Christianne van der Zouw bij werkgroepen zoals </w:t>
      </w:r>
      <w:proofErr w:type="spellStart"/>
      <w:r w:rsidRPr="0F5527D0">
        <w:rPr>
          <w:rFonts w:eastAsia="Verdana" w:cs="Verdana"/>
          <w:szCs w:val="19"/>
        </w:rPr>
        <w:t>CieKunstgras</w:t>
      </w:r>
      <w:proofErr w:type="spellEnd"/>
      <w:r w:rsidRPr="0F5527D0">
        <w:rPr>
          <w:rFonts w:eastAsia="Verdana" w:cs="Verdana"/>
          <w:szCs w:val="19"/>
        </w:rPr>
        <w:t xml:space="preserve"> en Zorgplicht</w:t>
      </w:r>
    </w:p>
    <w:p w14:paraId="7F3D0358" w14:textId="7427ED95" w:rsidR="49A8A050" w:rsidRPr="00A31656" w:rsidRDefault="02CDC11E" w:rsidP="0F5527D0">
      <w:r w:rsidRPr="0F5527D0">
        <w:rPr>
          <w:rFonts w:eastAsia="Verdana" w:cs="Verdana"/>
          <w:szCs w:val="19"/>
        </w:rPr>
        <w:t xml:space="preserve"> </w:t>
      </w:r>
    </w:p>
    <w:p w14:paraId="21D6CC9A" w14:textId="3DE52A87" w:rsidR="49A8A050" w:rsidRPr="00A31656" w:rsidRDefault="02CDC11E" w:rsidP="0F5527D0">
      <w:r w:rsidRPr="0F5527D0">
        <w:rPr>
          <w:rFonts w:eastAsia="Verdana" w:cs="Verdana"/>
          <w:szCs w:val="19"/>
        </w:rPr>
        <w:t xml:space="preserve"> </w:t>
      </w:r>
    </w:p>
    <w:p w14:paraId="124E4E40" w14:textId="5D9D5550" w:rsidR="49A8A050" w:rsidRPr="00A31656" w:rsidRDefault="02CDC11E" w:rsidP="0F5527D0">
      <w:pPr>
        <w:spacing w:before="120" w:after="120"/>
        <w:ind w:left="720" w:hanging="360"/>
        <w:jc w:val="left"/>
      </w:pPr>
      <w:r w:rsidRPr="0F5527D0">
        <w:rPr>
          <w:rFonts w:eastAsia="Verdana" w:cs="Verdana"/>
          <w:b/>
          <w:bCs/>
          <w:szCs w:val="19"/>
        </w:rPr>
        <w:t>Aanwezigheid op beurzen en congressen</w:t>
      </w:r>
    </w:p>
    <w:p w14:paraId="5D5B4B52" w14:textId="28A15495" w:rsidR="49A8A050" w:rsidRPr="00A31656" w:rsidRDefault="02CDC11E" w:rsidP="0F5527D0">
      <w:pPr>
        <w:spacing w:line="257" w:lineRule="auto"/>
      </w:pPr>
      <w:r w:rsidRPr="0F5527D0">
        <w:rPr>
          <w:rFonts w:eastAsia="Verdana" w:cs="Verdana"/>
          <w:color w:val="212121"/>
          <w:szCs w:val="19"/>
        </w:rPr>
        <w:t xml:space="preserve">Finovi heeft in 2025 deelgenomen aan twee beurzen en congressen. Hierbinnen is informatie gedeeld en vergaart over verschillende duurzame ketenoplossingen. Met behulp van de beurzen deelt Finovi onder andere informatie over duurzame kunstgrassystemen zoals het </w:t>
      </w:r>
      <w:proofErr w:type="gramStart"/>
      <w:r w:rsidRPr="0F5527D0">
        <w:rPr>
          <w:rFonts w:eastAsia="Verdana" w:cs="Verdana"/>
          <w:color w:val="212121"/>
          <w:szCs w:val="19"/>
        </w:rPr>
        <w:t>reeds</w:t>
      </w:r>
      <w:proofErr w:type="gramEnd"/>
      <w:r w:rsidRPr="0F5527D0">
        <w:rPr>
          <w:rFonts w:eastAsia="Verdana" w:cs="Verdana"/>
          <w:color w:val="212121"/>
          <w:szCs w:val="19"/>
        </w:rPr>
        <w:t xml:space="preserve"> </w:t>
      </w:r>
      <w:r w:rsidRPr="0F5527D0">
        <w:rPr>
          <w:rFonts w:eastAsia="Verdana" w:cs="Verdana"/>
          <w:color w:val="212121"/>
          <w:szCs w:val="19"/>
        </w:rPr>
        <w:lastRenderedPageBreak/>
        <w:t xml:space="preserve">ontwikkelde collectorveld, nieuwe </w:t>
      </w:r>
      <w:proofErr w:type="spellStart"/>
      <w:r w:rsidRPr="0F5527D0">
        <w:rPr>
          <w:rFonts w:eastAsia="Verdana" w:cs="Verdana"/>
          <w:color w:val="212121"/>
          <w:szCs w:val="19"/>
        </w:rPr>
        <w:t>infilltypen</w:t>
      </w:r>
      <w:proofErr w:type="spellEnd"/>
      <w:r w:rsidRPr="0F5527D0">
        <w:rPr>
          <w:rFonts w:eastAsia="Verdana" w:cs="Verdana"/>
          <w:color w:val="212121"/>
          <w:szCs w:val="19"/>
        </w:rPr>
        <w:t xml:space="preserve">, het nieuwe dry-hockey en het </w:t>
      </w:r>
      <w:proofErr w:type="spellStart"/>
      <w:r w:rsidRPr="0F5527D0">
        <w:rPr>
          <w:rFonts w:eastAsia="Verdana" w:cs="Verdana"/>
          <w:color w:val="212121"/>
          <w:szCs w:val="19"/>
        </w:rPr>
        <w:t>Climate</w:t>
      </w:r>
      <w:proofErr w:type="spellEnd"/>
      <w:r w:rsidRPr="0F5527D0">
        <w:rPr>
          <w:rFonts w:eastAsia="Verdana" w:cs="Verdana"/>
          <w:color w:val="212121"/>
          <w:szCs w:val="19"/>
        </w:rPr>
        <w:t xml:space="preserve"> Control Veld.</w:t>
      </w:r>
    </w:p>
    <w:p w14:paraId="6F29FC94" w14:textId="0BE62C75" w:rsidR="49A8A050" w:rsidRPr="00A31656" w:rsidRDefault="02CDC11E" w:rsidP="0F5527D0">
      <w:pPr>
        <w:spacing w:line="257" w:lineRule="auto"/>
      </w:pPr>
      <w:r w:rsidRPr="0F5527D0">
        <w:rPr>
          <w:rFonts w:eastAsia="Verdana" w:cs="Verdana"/>
          <w:color w:val="212121"/>
          <w:szCs w:val="19"/>
        </w:rPr>
        <w:t>De beurzen waaraan is deelgenomen zijn:</w:t>
      </w:r>
    </w:p>
    <w:p w14:paraId="1E6DB244" w14:textId="4C7D6815" w:rsidR="49A8A050" w:rsidRPr="00A31656" w:rsidRDefault="02CDC11E" w:rsidP="0F5527D0">
      <w:pPr>
        <w:pStyle w:val="Lijstalinea"/>
        <w:numPr>
          <w:ilvl w:val="0"/>
          <w:numId w:val="7"/>
        </w:numPr>
        <w:spacing w:line="257" w:lineRule="auto"/>
        <w:rPr>
          <w:rFonts w:eastAsia="Verdana" w:cs="Verdana"/>
          <w:color w:val="212121"/>
          <w:szCs w:val="19"/>
        </w:rPr>
      </w:pPr>
      <w:r w:rsidRPr="0F5527D0">
        <w:rPr>
          <w:rFonts w:eastAsia="Verdana" w:cs="Verdana"/>
          <w:color w:val="212121"/>
          <w:szCs w:val="19"/>
        </w:rPr>
        <w:t>Nationale Sport Vakbeurs;</w:t>
      </w:r>
    </w:p>
    <w:p w14:paraId="4E4DF589" w14:textId="55F7D77B" w:rsidR="49A8A050" w:rsidRPr="00A31656" w:rsidRDefault="02CDC11E" w:rsidP="0F5527D0">
      <w:pPr>
        <w:pStyle w:val="Lijstalinea"/>
        <w:numPr>
          <w:ilvl w:val="0"/>
          <w:numId w:val="7"/>
        </w:numPr>
        <w:spacing w:line="257" w:lineRule="auto"/>
        <w:rPr>
          <w:rFonts w:eastAsia="Verdana" w:cs="Verdana"/>
          <w:color w:val="212121"/>
          <w:szCs w:val="19"/>
        </w:rPr>
      </w:pPr>
      <w:r w:rsidRPr="0F5527D0">
        <w:rPr>
          <w:rFonts w:eastAsia="Verdana" w:cs="Verdana"/>
          <w:color w:val="212121"/>
          <w:szCs w:val="19"/>
        </w:rPr>
        <w:t>Vakbeurs Sportaccommodaties.</w:t>
      </w:r>
    </w:p>
    <w:p w14:paraId="4ACEFD9E" w14:textId="48B2ECA7" w:rsidR="49A8A050" w:rsidRPr="00A31656" w:rsidRDefault="49A8A050" w:rsidP="49A8A050"/>
    <w:p w14:paraId="7D86CDE3" w14:textId="48E46270" w:rsidR="49A8A050" w:rsidRPr="00A31656" w:rsidRDefault="49A8A050" w:rsidP="0F5527D0">
      <w:pPr>
        <w:jc w:val="left"/>
        <w:rPr>
          <w:rFonts w:eastAsia="Verdana" w:cs="Verdana"/>
          <w:szCs w:val="19"/>
        </w:rPr>
      </w:pPr>
    </w:p>
    <w:p w14:paraId="6853C08C" w14:textId="092ABEA7" w:rsidR="49A8A050" w:rsidRPr="00A31656" w:rsidRDefault="49A8A050" w:rsidP="49A8A050">
      <w:pPr>
        <w:rPr>
          <w:color w:val="ED7D31" w:themeColor="accent2"/>
        </w:rPr>
      </w:pPr>
    </w:p>
    <w:tbl>
      <w:tblPr>
        <w:tblStyle w:val="Tabelraster"/>
        <w:tblW w:w="0" w:type="auto"/>
        <w:tblLook w:val="04A0" w:firstRow="1" w:lastRow="0" w:firstColumn="1" w:lastColumn="0" w:noHBand="0" w:noVBand="1"/>
      </w:tblPr>
      <w:tblGrid>
        <w:gridCol w:w="3018"/>
        <w:gridCol w:w="2212"/>
        <w:gridCol w:w="2111"/>
        <w:gridCol w:w="1641"/>
      </w:tblGrid>
      <w:tr w:rsidR="0F5527D0" w14:paraId="3181B93B" w14:textId="77777777" w:rsidTr="0F5527D0">
        <w:trPr>
          <w:trHeight w:val="600"/>
        </w:trPr>
        <w:tc>
          <w:tcPr>
            <w:tcW w:w="3135"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shd w:val="clear" w:color="auto" w:fill="6ABD92"/>
            <w:tcMar>
              <w:left w:w="108" w:type="dxa"/>
              <w:right w:w="108" w:type="dxa"/>
            </w:tcMar>
          </w:tcPr>
          <w:p w14:paraId="65907B1D" w14:textId="510D7CDC" w:rsidR="0F5527D0" w:rsidRDefault="0F5527D0" w:rsidP="0F5527D0">
            <w:pPr>
              <w:jc w:val="center"/>
            </w:pPr>
            <w:r w:rsidRPr="0F5527D0">
              <w:rPr>
                <w:rFonts w:eastAsia="Verdana" w:cs="Verdana"/>
                <w:b/>
                <w:bCs/>
                <w:caps/>
                <w:color w:val="000000" w:themeColor="text1"/>
                <w:szCs w:val="19"/>
              </w:rPr>
              <w:t>Initiatief</w:t>
            </w:r>
          </w:p>
        </w:tc>
        <w:tc>
          <w:tcPr>
            <w:tcW w:w="1965"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shd w:val="clear" w:color="auto" w:fill="6ABD92"/>
            <w:tcMar>
              <w:left w:w="108" w:type="dxa"/>
              <w:right w:w="108" w:type="dxa"/>
            </w:tcMar>
          </w:tcPr>
          <w:p w14:paraId="65C033F2" w14:textId="1BEF842E" w:rsidR="0F5527D0" w:rsidRDefault="0F5527D0" w:rsidP="0F5527D0">
            <w:pPr>
              <w:jc w:val="center"/>
            </w:pPr>
            <w:r w:rsidRPr="0F5527D0">
              <w:rPr>
                <w:rFonts w:eastAsia="Verdana" w:cs="Verdana"/>
                <w:b/>
                <w:bCs/>
                <w:caps/>
                <w:color w:val="000000" w:themeColor="text1"/>
                <w:szCs w:val="19"/>
              </w:rPr>
              <w:t>Type bijdrage</w:t>
            </w:r>
          </w:p>
        </w:tc>
        <w:tc>
          <w:tcPr>
            <w:tcW w:w="222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shd w:val="clear" w:color="auto" w:fill="6ABD92"/>
            <w:tcMar>
              <w:left w:w="108" w:type="dxa"/>
              <w:right w:w="108" w:type="dxa"/>
            </w:tcMar>
          </w:tcPr>
          <w:p w14:paraId="43A89EBA" w14:textId="1367FD1C" w:rsidR="0F5527D0" w:rsidRDefault="0F5527D0" w:rsidP="0F5527D0">
            <w:pPr>
              <w:jc w:val="center"/>
            </w:pPr>
            <w:r w:rsidRPr="0F5527D0">
              <w:rPr>
                <w:rFonts w:eastAsia="Verdana" w:cs="Verdana"/>
                <w:b/>
                <w:bCs/>
                <w:caps/>
                <w:color w:val="000000" w:themeColor="text1"/>
                <w:szCs w:val="19"/>
              </w:rPr>
              <w:t>Jaarlijks bedrag</w:t>
            </w:r>
          </w:p>
        </w:tc>
        <w:tc>
          <w:tcPr>
            <w:tcW w:w="1650" w:type="dxa"/>
            <w:tcBorders>
              <w:top w:val="single" w:sz="36"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6ABD92"/>
            <w:tcMar>
              <w:left w:w="108" w:type="dxa"/>
              <w:right w:w="108" w:type="dxa"/>
            </w:tcMar>
          </w:tcPr>
          <w:p w14:paraId="267312C6" w14:textId="00FDE2C9" w:rsidR="0F5527D0" w:rsidRDefault="0F5527D0" w:rsidP="0F5527D0">
            <w:pPr>
              <w:jc w:val="center"/>
            </w:pPr>
            <w:r w:rsidRPr="0F5527D0">
              <w:rPr>
                <w:rFonts w:eastAsia="Verdana" w:cs="Verdana"/>
                <w:b/>
                <w:bCs/>
                <w:caps/>
                <w:color w:val="000000" w:themeColor="text1"/>
                <w:szCs w:val="19"/>
              </w:rPr>
              <w:t>Bewijslast</w:t>
            </w:r>
          </w:p>
        </w:tc>
      </w:tr>
      <w:tr w:rsidR="0F5527D0" w14:paraId="01AF28F4" w14:textId="77777777" w:rsidTr="0F5527D0">
        <w:trPr>
          <w:trHeight w:val="300"/>
        </w:trPr>
        <w:tc>
          <w:tcPr>
            <w:tcW w:w="3135" w:type="dxa"/>
            <w:tcBorders>
              <w:top w:val="single" w:sz="36"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118A76B8" w14:textId="2E4055AD" w:rsidR="0F5527D0" w:rsidRDefault="0F5527D0" w:rsidP="0F5527D0">
            <w:r w:rsidRPr="0F5527D0">
              <w:rPr>
                <w:rFonts w:eastAsia="Verdana" w:cs="Verdana"/>
                <w:b/>
                <w:bCs/>
                <w:color w:val="000000" w:themeColor="text1"/>
                <w:szCs w:val="19"/>
              </w:rPr>
              <w:t>Werkgroep Circulariteit</w:t>
            </w:r>
          </w:p>
        </w:tc>
        <w:tc>
          <w:tcPr>
            <w:tcW w:w="1965" w:type="dxa"/>
            <w:tcBorders>
              <w:top w:val="single" w:sz="36"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747312D2" w14:textId="32D82CB5" w:rsidR="0F5527D0" w:rsidRDefault="0F5527D0" w:rsidP="0F5527D0">
            <w:pPr>
              <w:jc w:val="left"/>
            </w:pPr>
            <w:r w:rsidRPr="0F5527D0">
              <w:rPr>
                <w:rFonts w:eastAsia="Verdana" w:cs="Verdana"/>
                <w:color w:val="000000" w:themeColor="text1"/>
                <w:szCs w:val="19"/>
              </w:rPr>
              <w:t>Urenbijdrage</w:t>
            </w:r>
          </w:p>
        </w:tc>
        <w:tc>
          <w:tcPr>
            <w:tcW w:w="2220" w:type="dxa"/>
            <w:tcBorders>
              <w:top w:val="single" w:sz="36"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3E1D34CC" w14:textId="7B44D98E" w:rsidR="0F5527D0" w:rsidRDefault="0F5527D0" w:rsidP="0F5527D0">
            <w:pPr>
              <w:jc w:val="right"/>
              <w:rPr>
                <w:rFonts w:eastAsia="Verdana" w:cs="Verdana"/>
                <w:color w:val="000000" w:themeColor="text1"/>
                <w:szCs w:val="19"/>
              </w:rPr>
            </w:pPr>
            <w:r w:rsidRPr="0F5527D0">
              <w:rPr>
                <w:rFonts w:eastAsia="Verdana" w:cs="Verdana"/>
                <w:color w:val="000000" w:themeColor="text1"/>
                <w:szCs w:val="19"/>
              </w:rPr>
              <w:t xml:space="preserve">Niet te specificeren </w:t>
            </w:r>
            <w:r>
              <w:br/>
            </w:r>
            <w:r>
              <w:br/>
            </w:r>
          </w:p>
        </w:tc>
        <w:tc>
          <w:tcPr>
            <w:tcW w:w="1650" w:type="dxa"/>
            <w:tcBorders>
              <w:top w:val="single" w:sz="36"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7B668036" w14:textId="51712D3D" w:rsidR="0F5527D0" w:rsidRDefault="0F5527D0" w:rsidP="0F5527D0">
            <w:pPr>
              <w:jc w:val="left"/>
            </w:pPr>
            <w:r w:rsidRPr="0F5527D0">
              <w:rPr>
                <w:rFonts w:eastAsia="Verdana" w:cs="Verdana"/>
                <w:color w:val="000000" w:themeColor="text1"/>
                <w:szCs w:val="19"/>
              </w:rPr>
              <w:t>Notulen, verslagen</w:t>
            </w:r>
          </w:p>
        </w:tc>
      </w:tr>
      <w:tr w:rsidR="0F5527D0" w14:paraId="35F21C35" w14:textId="77777777" w:rsidTr="0F5527D0">
        <w:trPr>
          <w:trHeight w:val="300"/>
        </w:trPr>
        <w:tc>
          <w:tcPr>
            <w:tcW w:w="3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2C0549F8" w14:textId="0ED5A621" w:rsidR="0F5527D0" w:rsidRDefault="0F5527D0" w:rsidP="0F5527D0">
            <w:r w:rsidRPr="0F5527D0">
              <w:rPr>
                <w:rFonts w:eastAsia="Verdana" w:cs="Verdana"/>
                <w:b/>
                <w:bCs/>
                <w:color w:val="000000" w:themeColor="text1"/>
                <w:szCs w:val="19"/>
              </w:rPr>
              <w:t>Deelname aan Branchevereniging</w:t>
            </w:r>
          </w:p>
        </w:tc>
        <w:tc>
          <w:tcPr>
            <w:tcW w:w="19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1AF9B0B8" w14:textId="7E0B39B0" w:rsidR="0F5527D0" w:rsidRDefault="0F5527D0" w:rsidP="0F5527D0">
            <w:pPr>
              <w:jc w:val="left"/>
            </w:pPr>
            <w:r w:rsidRPr="0F5527D0">
              <w:rPr>
                <w:rFonts w:eastAsia="Verdana" w:cs="Verdana"/>
                <w:color w:val="000000" w:themeColor="text1"/>
                <w:szCs w:val="19"/>
              </w:rPr>
              <w:t>Urenbijdrage en bijdragen in lidmaatschapskosten</w:t>
            </w:r>
          </w:p>
        </w:tc>
        <w:tc>
          <w:tcPr>
            <w:tcW w:w="22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0E69AEEE" w14:textId="212DD71A" w:rsidR="0F5527D0" w:rsidRDefault="0F5527D0" w:rsidP="0F5527D0">
            <w:pPr>
              <w:jc w:val="right"/>
            </w:pPr>
            <w:proofErr w:type="gramStart"/>
            <w:r w:rsidRPr="0F5527D0">
              <w:rPr>
                <w:rFonts w:eastAsia="Verdana" w:cs="Verdana"/>
                <w:color w:val="000000" w:themeColor="text1"/>
                <w:szCs w:val="19"/>
              </w:rPr>
              <w:t>2.500,-</w:t>
            </w:r>
            <w:proofErr w:type="gramEnd"/>
          </w:p>
        </w:tc>
        <w:tc>
          <w:tcPr>
            <w:tcW w:w="16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7ECCE7B1" w14:textId="0526B9EA" w:rsidR="0F5527D0" w:rsidRDefault="0F5527D0" w:rsidP="0F5527D0">
            <w:pPr>
              <w:jc w:val="left"/>
            </w:pPr>
            <w:r w:rsidRPr="0F5527D0">
              <w:rPr>
                <w:rFonts w:eastAsia="Verdana" w:cs="Verdana"/>
                <w:color w:val="000000" w:themeColor="text1"/>
                <w:szCs w:val="19"/>
              </w:rPr>
              <w:t>Notulen, verslagen</w:t>
            </w:r>
          </w:p>
        </w:tc>
      </w:tr>
      <w:tr w:rsidR="0F5527D0" w14:paraId="17B14043" w14:textId="77777777" w:rsidTr="0F5527D0">
        <w:trPr>
          <w:trHeight w:val="300"/>
        </w:trPr>
        <w:tc>
          <w:tcPr>
            <w:tcW w:w="3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7343E8B3" w14:textId="480DE83C" w:rsidR="0F5527D0" w:rsidRDefault="0F5527D0" w:rsidP="0F5527D0">
            <w:r w:rsidRPr="0F5527D0">
              <w:rPr>
                <w:rFonts w:eastAsia="Verdana" w:cs="Verdana"/>
                <w:b/>
                <w:bCs/>
                <w:color w:val="000000" w:themeColor="text1"/>
                <w:szCs w:val="19"/>
              </w:rPr>
              <w:t>Aanwezigheid beurzen en congressen</w:t>
            </w:r>
          </w:p>
        </w:tc>
        <w:tc>
          <w:tcPr>
            <w:tcW w:w="196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1CBAF3DE" w14:textId="4968F151" w:rsidR="0F5527D0" w:rsidRDefault="0F5527D0" w:rsidP="0F5527D0">
            <w:pPr>
              <w:jc w:val="left"/>
            </w:pPr>
            <w:r w:rsidRPr="0F5527D0">
              <w:rPr>
                <w:rFonts w:eastAsia="Verdana" w:cs="Verdana"/>
                <w:color w:val="000000" w:themeColor="text1"/>
                <w:szCs w:val="19"/>
              </w:rPr>
              <w:t>Urenbijdrage en bijdragen in middelen</w:t>
            </w:r>
          </w:p>
        </w:tc>
        <w:tc>
          <w:tcPr>
            <w:tcW w:w="22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0B83D0A9" w14:textId="5197A6FF" w:rsidR="0F5527D0" w:rsidRDefault="0F5527D0" w:rsidP="0F5527D0">
            <w:pPr>
              <w:jc w:val="right"/>
              <w:rPr>
                <w:rFonts w:eastAsia="Verdana" w:cs="Verdana"/>
                <w:color w:val="000000" w:themeColor="text1"/>
                <w:szCs w:val="19"/>
              </w:rPr>
            </w:pPr>
            <w:r w:rsidRPr="0F5527D0">
              <w:rPr>
                <w:rFonts w:eastAsia="Verdana" w:cs="Verdana"/>
                <w:color w:val="000000" w:themeColor="text1"/>
                <w:szCs w:val="19"/>
              </w:rPr>
              <w:t xml:space="preserve"> </w:t>
            </w:r>
            <w:proofErr w:type="gramStart"/>
            <w:r w:rsidRPr="0F5527D0">
              <w:rPr>
                <w:rFonts w:eastAsia="Verdana" w:cs="Verdana"/>
                <w:color w:val="000000" w:themeColor="text1"/>
                <w:szCs w:val="19"/>
              </w:rPr>
              <w:t>10.000,-</w:t>
            </w:r>
            <w:proofErr w:type="gramEnd"/>
            <w:r w:rsidRPr="0F5527D0">
              <w:rPr>
                <w:rFonts w:eastAsia="Verdana" w:cs="Verdana"/>
                <w:color w:val="000000" w:themeColor="text1"/>
                <w:szCs w:val="19"/>
              </w:rPr>
              <w:t xml:space="preserve"> </w:t>
            </w:r>
            <w:r>
              <w:br/>
            </w:r>
            <w:r>
              <w:br/>
            </w:r>
          </w:p>
        </w:tc>
        <w:tc>
          <w:tcPr>
            <w:tcW w:w="16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7511D08B" w14:textId="67D8E1D0" w:rsidR="0F5527D0" w:rsidRDefault="0F5527D0" w:rsidP="0F5527D0">
            <w:pPr>
              <w:spacing w:line="257" w:lineRule="auto"/>
              <w:jc w:val="left"/>
            </w:pPr>
            <w:r w:rsidRPr="0F5527D0">
              <w:rPr>
                <w:rFonts w:eastAsia="Verdana" w:cs="Verdana"/>
                <w:color w:val="000000" w:themeColor="text1"/>
                <w:szCs w:val="19"/>
              </w:rPr>
              <w:t>Nieuwsbericht</w:t>
            </w:r>
          </w:p>
        </w:tc>
      </w:tr>
      <w:tr w:rsidR="0F5527D0" w14:paraId="7F05B899" w14:textId="77777777" w:rsidTr="0F5527D0">
        <w:trPr>
          <w:trHeight w:val="300"/>
        </w:trPr>
        <w:tc>
          <w:tcPr>
            <w:tcW w:w="510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6ABD92"/>
            <w:tcMar>
              <w:left w:w="108" w:type="dxa"/>
              <w:right w:w="108" w:type="dxa"/>
            </w:tcMar>
          </w:tcPr>
          <w:p w14:paraId="6FFA2884" w14:textId="12D508E6" w:rsidR="0F5527D0" w:rsidRDefault="0F5527D0" w:rsidP="0F5527D0">
            <w:pPr>
              <w:jc w:val="center"/>
            </w:pPr>
            <w:r w:rsidRPr="0F5527D0">
              <w:rPr>
                <w:rFonts w:eastAsia="Verdana" w:cs="Verdana"/>
                <w:b/>
                <w:bCs/>
                <w:caps/>
                <w:color w:val="000000" w:themeColor="text1"/>
                <w:szCs w:val="19"/>
              </w:rPr>
              <w:t>Totale kosten</w:t>
            </w:r>
          </w:p>
        </w:tc>
        <w:tc>
          <w:tcPr>
            <w:tcW w:w="2220"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490E0FF8" w14:textId="700F3529" w:rsidR="0F5527D0" w:rsidRDefault="0F5527D0" w:rsidP="0F5527D0">
            <w:pPr>
              <w:jc w:val="right"/>
            </w:pPr>
            <w:r w:rsidRPr="0F5527D0">
              <w:rPr>
                <w:rFonts w:eastAsia="Verdana" w:cs="Verdana"/>
                <w:b/>
                <w:bCs/>
                <w:caps/>
                <w:color w:val="000000" w:themeColor="text1"/>
                <w:szCs w:val="19"/>
              </w:rPr>
              <w:t xml:space="preserve">€ </w:t>
            </w:r>
            <w:proofErr w:type="gramStart"/>
            <w:r w:rsidRPr="0F5527D0">
              <w:rPr>
                <w:rFonts w:eastAsia="Verdana" w:cs="Verdana"/>
                <w:b/>
                <w:bCs/>
                <w:caps/>
                <w:color w:val="000000" w:themeColor="text1"/>
                <w:szCs w:val="19"/>
              </w:rPr>
              <w:t>12.500,-</w:t>
            </w:r>
            <w:proofErr w:type="gramEnd"/>
          </w:p>
        </w:tc>
        <w:tc>
          <w:tcPr>
            <w:tcW w:w="16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left w:w="108" w:type="dxa"/>
              <w:right w:w="108" w:type="dxa"/>
            </w:tcMar>
          </w:tcPr>
          <w:p w14:paraId="7DBA887D" w14:textId="5484EF73" w:rsidR="0F5527D0" w:rsidRDefault="0F5527D0" w:rsidP="0F5527D0">
            <w:pPr>
              <w:jc w:val="left"/>
              <w:rPr>
                <w:rFonts w:eastAsia="Verdana" w:cs="Verdana"/>
                <w:b/>
                <w:bCs/>
                <w:szCs w:val="19"/>
              </w:rPr>
            </w:pPr>
          </w:p>
        </w:tc>
      </w:tr>
    </w:tbl>
    <w:p w14:paraId="6906C017" w14:textId="76A92320" w:rsidR="0F5527D0" w:rsidRDefault="0F5527D0" w:rsidP="0F5527D0">
      <w:pPr>
        <w:rPr>
          <w:color w:val="ED7D31" w:themeColor="accent2"/>
        </w:rPr>
      </w:pPr>
    </w:p>
    <w:p w14:paraId="4E985F5D" w14:textId="757C8F65" w:rsidR="0F5527D0" w:rsidRDefault="0F5527D0" w:rsidP="0F5527D0">
      <w:pPr>
        <w:rPr>
          <w:color w:val="ED7D31" w:themeColor="accent2"/>
        </w:rPr>
      </w:pPr>
    </w:p>
    <w:p w14:paraId="6D00E404" w14:textId="284189B3" w:rsidR="0F5527D0" w:rsidRDefault="0F5527D0" w:rsidP="0F5527D0"/>
    <w:p w14:paraId="03F280E0" w14:textId="77777777" w:rsidR="00C76E5D" w:rsidRPr="005B1065" w:rsidRDefault="00C76E5D" w:rsidP="000E3402">
      <w:pPr>
        <w:rPr>
          <w:color w:val="000000" w:themeColor="text1"/>
        </w:rPr>
      </w:pPr>
    </w:p>
    <w:p w14:paraId="6A3AA4B2" w14:textId="1E69B3C0" w:rsidR="000E3402" w:rsidRDefault="000E3402" w:rsidP="0F5527D0">
      <w:pPr>
        <w:pStyle w:val="Kop2"/>
        <w:numPr>
          <w:ilvl w:val="0"/>
          <w:numId w:val="0"/>
        </w:numPr>
      </w:pPr>
    </w:p>
    <w:p w14:paraId="218D799C" w14:textId="020283FC" w:rsidR="000E3402" w:rsidRDefault="001F0BD0" w:rsidP="0F5527D0">
      <w:r>
        <w:br w:type="page"/>
      </w:r>
    </w:p>
    <w:p w14:paraId="0946D27E" w14:textId="2B2B65DB" w:rsidR="000E3402" w:rsidRDefault="001F0BD0" w:rsidP="006322C9">
      <w:pPr>
        <w:pStyle w:val="Kop2"/>
      </w:pPr>
      <w:bookmarkStart w:id="21" w:name="_Toc118736218"/>
      <w:bookmarkStart w:id="22" w:name="_Toc142472103"/>
      <w:r>
        <w:lastRenderedPageBreak/>
        <w:t xml:space="preserve">Doeltreffendheid en </w:t>
      </w:r>
      <w:proofErr w:type="spellStart"/>
      <w:r>
        <w:t>t</w:t>
      </w:r>
      <w:r w:rsidR="006322C9">
        <w:t>oereikendheid</w:t>
      </w:r>
      <w:proofErr w:type="spellEnd"/>
      <w:r w:rsidR="006322C9">
        <w:t xml:space="preserve"> van middelen</w:t>
      </w:r>
      <w:bookmarkEnd w:id="21"/>
      <w:bookmarkEnd w:id="22"/>
    </w:p>
    <w:p w14:paraId="646F5623" w14:textId="6053D2AB" w:rsidR="001F0BD0" w:rsidRPr="00CC3532" w:rsidRDefault="00597054" w:rsidP="009E722B">
      <w:r w:rsidRPr="00CC3532">
        <w:t>De projectleider</w:t>
      </w:r>
      <w:r w:rsidR="009E722B" w:rsidRPr="00CC3532">
        <w:t xml:space="preserve"> heeft beoordeeld dat het CO</w:t>
      </w:r>
      <w:r w:rsidR="009E722B" w:rsidRPr="00CC3532">
        <w:rPr>
          <w:vertAlign w:val="subscript"/>
        </w:rPr>
        <w:t>2</w:t>
      </w:r>
      <w:r w:rsidR="009E722B" w:rsidRPr="00CC3532">
        <w:t>-reductiesysteem werkt naar behoren</w:t>
      </w:r>
      <w:r w:rsidR="3A282A5B" w:rsidRPr="00CC3532">
        <w:t>,</w:t>
      </w:r>
      <w:r w:rsidR="00F36DBC" w:rsidRPr="00CC3532">
        <w:t xml:space="preserve"> naar aanleiding van de bevindingen uit de interne audit</w:t>
      </w:r>
      <w:r w:rsidR="0015012D" w:rsidRPr="00CC3532">
        <w:t xml:space="preserve"> met betrekking tot de doelstellingen per eis</w:t>
      </w:r>
      <w:r w:rsidR="009E722B" w:rsidRPr="00CC3532">
        <w:t>. Er is geen noodzaak voor wijzigingen in het opgestelde CO</w:t>
      </w:r>
      <w:r w:rsidR="009E722B" w:rsidRPr="00CC3532">
        <w:rPr>
          <w:vertAlign w:val="subscript"/>
        </w:rPr>
        <w:t>2</w:t>
      </w:r>
      <w:r w:rsidR="009E722B" w:rsidRPr="00CC3532">
        <w:t>-managementsysteem, de doelstellingen, maatregelen of deelname aan initiatieven.</w:t>
      </w:r>
      <w:r w:rsidR="001353D2" w:rsidRPr="00CC3532">
        <w:t xml:space="preserve"> </w:t>
      </w:r>
    </w:p>
    <w:p w14:paraId="4183E8CE" w14:textId="5DB2E2AA" w:rsidR="3F4184A5" w:rsidRPr="00CC3532" w:rsidRDefault="3F4184A5" w:rsidP="3F4184A5"/>
    <w:p w14:paraId="394204A3" w14:textId="711940BE" w:rsidR="00C81930" w:rsidRPr="00CC3532" w:rsidRDefault="374158D9" w:rsidP="00C81930">
      <w:r w:rsidRPr="00CC3532">
        <w:t xml:space="preserve">Wel is het belangrijk aandacht te schenken aan het </w:t>
      </w:r>
      <w:r w:rsidR="6F91B76E" w:rsidRPr="00CC3532">
        <w:t>monitoren van de emissiestromen en</w:t>
      </w:r>
      <w:r w:rsidRPr="00CC3532">
        <w:t xml:space="preserve"> het uitvoeren van het </w:t>
      </w:r>
      <w:proofErr w:type="spellStart"/>
      <w:r w:rsidRPr="00CC3532">
        <w:t>half-jaarlijkse</w:t>
      </w:r>
      <w:proofErr w:type="spellEnd"/>
      <w:r w:rsidRPr="00CC3532">
        <w:t xml:space="preserve"> (interne) communicatiemoment</w:t>
      </w:r>
      <w:r w:rsidR="79E15BEB" w:rsidRPr="00CC3532">
        <w:t xml:space="preserve">, dit geeft handvatten om het verbruik gericht te reduceren. De interne communicatie draagt bij tot het vergroten van de bewustwording onder de medewerkers. </w:t>
      </w:r>
      <w:r w:rsidR="00F213C0" w:rsidRPr="00CC3532">
        <w:t xml:space="preserve">Het CO2-prestatieladder certificaat is nog steeds van belang voor het binnen halen van opdrachten, onze positie in de markt en duurzaamheidsambities. Om deze redenen vindt de projectleider het relevant om het certificaat te behouden. Er is op dit moment geen behoefte aan extra middelen </w:t>
      </w:r>
      <w:r w:rsidR="44E860A3" w:rsidRPr="00CC3532">
        <w:t>(tijd en opleiding) om dit te realiseren.</w:t>
      </w:r>
    </w:p>
    <w:p w14:paraId="60F87AA8" w14:textId="77777777" w:rsidR="001353D2" w:rsidRPr="00A31656" w:rsidRDefault="001353D2" w:rsidP="00C81930">
      <w:pPr>
        <w:rPr>
          <w:color w:val="ED7D31" w:themeColor="accent2"/>
        </w:rPr>
      </w:pPr>
    </w:p>
    <w:p w14:paraId="7FDC83CF" w14:textId="5E23116E" w:rsidR="2886F0ED" w:rsidRDefault="2886F0ED" w:rsidP="2886F0ED"/>
    <w:p w14:paraId="799645AF" w14:textId="77777777" w:rsidR="00AC4666" w:rsidRDefault="00AC4666" w:rsidP="00AC4666">
      <w:pPr>
        <w:pStyle w:val="Kop2"/>
      </w:pPr>
      <w:bookmarkStart w:id="23" w:name="_Toc118736204"/>
      <w:bookmarkStart w:id="24" w:name="_Toc142472104"/>
      <w:r w:rsidRPr="0039335A">
        <w:t xml:space="preserve">Status </w:t>
      </w:r>
      <w:r>
        <w:t>van acties</w:t>
      </w:r>
      <w:r w:rsidRPr="0039335A">
        <w:t xml:space="preserve"> uit voorgaande directiebeoordelin</w:t>
      </w:r>
      <w:r>
        <w:t>gen</w:t>
      </w:r>
      <w:bookmarkEnd w:id="23"/>
      <w:bookmarkEnd w:id="24"/>
    </w:p>
    <w:p w14:paraId="14FC4DDA" w14:textId="77777777" w:rsidR="00AC4666" w:rsidRPr="0024691D" w:rsidRDefault="00AC4666" w:rsidP="00AC4666">
      <w:r w:rsidRPr="0024691D">
        <w:t>Uit voorgaande directiebeoordelingen zijn de volgende kansen voor verbetering naar voren gekomen:</w:t>
      </w:r>
    </w:p>
    <w:p w14:paraId="7BEF4AF4" w14:textId="77777777" w:rsidR="00DE4CB2" w:rsidRPr="00B9210D" w:rsidRDefault="00DE4CB2" w:rsidP="00AC4666"/>
    <w:p w14:paraId="3F7A5363" w14:textId="77777777" w:rsidR="00B9210D" w:rsidRPr="00B9210D" w:rsidRDefault="00B9210D" w:rsidP="00B9210D">
      <w:pPr>
        <w:pStyle w:val="Lijstalinea"/>
        <w:numPr>
          <w:ilvl w:val="0"/>
          <w:numId w:val="47"/>
        </w:numPr>
      </w:pPr>
      <w:r w:rsidRPr="00B9210D">
        <w:t xml:space="preserve">Zorg dat er beter inzicht komt in het verbruik van de laadpalen en de opwek zon. </w:t>
      </w:r>
    </w:p>
    <w:p w14:paraId="52DDCD5D" w14:textId="77777777" w:rsidR="00B9210D" w:rsidRPr="00B9210D" w:rsidRDefault="00B9210D" w:rsidP="00B9210D">
      <w:pPr>
        <w:pStyle w:val="Lijstalinea"/>
        <w:numPr>
          <w:ilvl w:val="0"/>
          <w:numId w:val="47"/>
        </w:numPr>
      </w:pPr>
      <w:r w:rsidRPr="00B9210D">
        <w:t>Strakker volgen van de stuurcyclus blijft een aandachtspunt</w:t>
      </w:r>
    </w:p>
    <w:p w14:paraId="221C3ECE" w14:textId="77777777" w:rsidR="00B9210D" w:rsidRPr="00B9210D" w:rsidRDefault="00B9210D" w:rsidP="00B9210D">
      <w:pPr>
        <w:pStyle w:val="Lijstalinea"/>
        <w:numPr>
          <w:ilvl w:val="0"/>
          <w:numId w:val="47"/>
        </w:numPr>
      </w:pPr>
      <w:r w:rsidRPr="00B9210D">
        <w:t xml:space="preserve">In gesprek gaan met ketenpartners om de scope 3 data te verbeteren. </w:t>
      </w:r>
    </w:p>
    <w:p w14:paraId="30A22C65" w14:textId="77777777" w:rsidR="00B9210D" w:rsidRPr="00B9210D" w:rsidRDefault="00B9210D" w:rsidP="00B9210D">
      <w:pPr>
        <w:pStyle w:val="Lijstalinea"/>
        <w:numPr>
          <w:ilvl w:val="0"/>
          <w:numId w:val="47"/>
        </w:numPr>
      </w:pPr>
      <w:r w:rsidRPr="00B9210D">
        <w:t xml:space="preserve">Beter inzichtelijk krijgen wat voor type stroomcontract er momenteel actief is. </w:t>
      </w:r>
    </w:p>
    <w:p w14:paraId="35B86A94" w14:textId="77777777" w:rsidR="00AC4666" w:rsidRPr="00C4581C" w:rsidRDefault="00AC4666" w:rsidP="00AC4666">
      <w:pPr>
        <w:rPr>
          <w:color w:val="ED7D31" w:themeColor="accent2"/>
        </w:rPr>
      </w:pPr>
    </w:p>
    <w:p w14:paraId="5DE6EFD9" w14:textId="3927E0AC" w:rsidR="20D88C94" w:rsidRPr="00974BCD" w:rsidRDefault="0024691D">
      <w:r w:rsidRPr="00974BCD">
        <w:t>In 202</w:t>
      </w:r>
      <w:r w:rsidR="00B9210D" w:rsidRPr="00974BCD">
        <w:t xml:space="preserve">5/2026 </w:t>
      </w:r>
      <w:r w:rsidRPr="00974BCD">
        <w:t xml:space="preserve">zijn hier de volgende </w:t>
      </w:r>
      <w:r w:rsidR="00071414" w:rsidRPr="00974BCD">
        <w:t xml:space="preserve">verbeter acties op uitgevoerd: </w:t>
      </w:r>
    </w:p>
    <w:p w14:paraId="0E09E15C" w14:textId="6905521F" w:rsidR="00071414" w:rsidRPr="00974BCD" w:rsidRDefault="00071414"/>
    <w:p w14:paraId="49EC9103" w14:textId="77777777" w:rsidR="00071414" w:rsidRPr="00974BCD" w:rsidRDefault="00071414"/>
    <w:p w14:paraId="55A3DE6F" w14:textId="5B35703B" w:rsidR="00573840" w:rsidRPr="00974BCD" w:rsidRDefault="00B9210D" w:rsidP="00573840">
      <w:pPr>
        <w:pStyle w:val="Lijstalinea"/>
        <w:numPr>
          <w:ilvl w:val="0"/>
          <w:numId w:val="42"/>
        </w:numPr>
      </w:pPr>
      <w:r w:rsidRPr="00974BCD">
        <w:t xml:space="preserve">Dit is </w:t>
      </w:r>
      <w:r w:rsidR="00974BCD" w:rsidRPr="00974BCD">
        <w:t>gerealiseerd</w:t>
      </w:r>
      <w:r w:rsidRPr="00974BCD">
        <w:t xml:space="preserve">, waarbij het verbruik van de laadpalen nu is </w:t>
      </w:r>
      <w:r w:rsidR="00974BCD" w:rsidRPr="00974BCD">
        <w:t xml:space="preserve">losgetrokken van het verbruik van het gebouw. Ook is de opwek zon inzichtelijk gemaakt, al heeft de omvormer een tijdje in storing gestaan, waardoor de data van 2025 gedeeltelijk berekend is. </w:t>
      </w:r>
    </w:p>
    <w:p w14:paraId="0F467350" w14:textId="16D7F756" w:rsidR="00974BCD" w:rsidRPr="00974BCD" w:rsidRDefault="00974BCD" w:rsidP="00974BCD">
      <w:pPr>
        <w:pStyle w:val="Lijstalinea"/>
        <w:numPr>
          <w:ilvl w:val="0"/>
          <w:numId w:val="42"/>
        </w:numPr>
      </w:pPr>
      <w:r w:rsidRPr="00974BCD">
        <w:t xml:space="preserve">De stuurcyclus is geprobeerd beter te volgen in 2025, al is door de onzekerheid of Finovi door zou gaan met de CO2-PL, wel wat vertraging opgelopen met het opstellen van de halfjaarlijkse footprint en de communicatie. </w:t>
      </w:r>
    </w:p>
    <w:p w14:paraId="4FD1789A" w14:textId="7AF3ACD9" w:rsidR="00CE6880" w:rsidRPr="00974BCD" w:rsidRDefault="00F175C4" w:rsidP="00761E1E">
      <w:pPr>
        <w:pStyle w:val="Lijstalinea"/>
        <w:numPr>
          <w:ilvl w:val="0"/>
          <w:numId w:val="42"/>
        </w:numPr>
      </w:pPr>
      <w:r w:rsidRPr="00974BCD">
        <w:t xml:space="preserve">De </w:t>
      </w:r>
      <w:r w:rsidR="005D472C" w:rsidRPr="00974BCD">
        <w:t>r</w:t>
      </w:r>
      <w:r w:rsidR="002B7861" w:rsidRPr="00974BCD">
        <w:t xml:space="preserve">eductiemaatregelen </w:t>
      </w:r>
      <w:r w:rsidR="005D472C" w:rsidRPr="00974BCD">
        <w:t xml:space="preserve">van </w:t>
      </w:r>
      <w:r w:rsidR="002B7861" w:rsidRPr="00974BCD">
        <w:t xml:space="preserve">scope 3 emissies zijn herzien en </w:t>
      </w:r>
      <w:r w:rsidR="00694767" w:rsidRPr="00974BCD">
        <w:t xml:space="preserve">waar nodig </w:t>
      </w:r>
      <w:r w:rsidR="002B7861" w:rsidRPr="00974BCD">
        <w:t>geüpdatet.</w:t>
      </w:r>
      <w:r w:rsidR="00FD5D5C" w:rsidRPr="00974BCD">
        <w:t xml:space="preserve"> Finovi kan bij projecten waar rechtstreeks voor een opdrachtgever wordt gewerkt invloed uitoefenen op het toepassen van duurzame alternatieven (binnen aanbestedingen gaat dat lastiger). </w:t>
      </w:r>
      <w:r w:rsidR="00F971B8" w:rsidRPr="00974BCD">
        <w:t>Er zijn verschillende gesprekken geweest met leveranciers over duurzame oplossingen in de branche, deze gesprekken worden in 202</w:t>
      </w:r>
      <w:r w:rsidR="00974BCD" w:rsidRPr="00974BCD">
        <w:t>6</w:t>
      </w:r>
      <w:r w:rsidR="00F971B8" w:rsidRPr="00974BCD">
        <w:t xml:space="preserve"> voortgezet</w:t>
      </w:r>
      <w:r w:rsidR="00974BCD" w:rsidRPr="00974BCD">
        <w:t xml:space="preserve">. Het verbeteren van de datakwaliteit blijft hierin ook altijd een centraal onderwerp. Specifieke emissiegegevens zijn tot dusver nog niet gebruikt in de berekening van de footprint. </w:t>
      </w:r>
    </w:p>
    <w:p w14:paraId="4A1D855D" w14:textId="32E4C51E" w:rsidR="005129F3" w:rsidRPr="00974BCD" w:rsidRDefault="00974BCD" w:rsidP="00304235">
      <w:pPr>
        <w:pStyle w:val="Lijstalinea"/>
        <w:numPr>
          <w:ilvl w:val="0"/>
          <w:numId w:val="42"/>
        </w:numPr>
      </w:pPr>
      <w:r w:rsidRPr="00974BCD">
        <w:t xml:space="preserve">In 2025 blijft dit grijze stroom, dit wordt naar alle verwachting met terugwerkende kracht voor 2026 naar groen omgezet. </w:t>
      </w:r>
    </w:p>
    <w:p w14:paraId="328349E1" w14:textId="77777777" w:rsidR="005D472C" w:rsidRPr="00304235" w:rsidRDefault="005D472C" w:rsidP="005D472C">
      <w:pPr>
        <w:pStyle w:val="Lijstalinea"/>
        <w:rPr>
          <w:color w:val="00B050"/>
        </w:rPr>
      </w:pPr>
    </w:p>
    <w:p w14:paraId="12B5BF57" w14:textId="77777777" w:rsidR="00AC4666" w:rsidRDefault="00AC4666" w:rsidP="00AC4666">
      <w:pPr>
        <w:pStyle w:val="Kop2"/>
      </w:pPr>
      <w:bookmarkStart w:id="25" w:name="_Toc118736205"/>
      <w:bookmarkStart w:id="26" w:name="_Toc142472105"/>
      <w:r>
        <w:t>Bevindingen uit de interne audit</w:t>
      </w:r>
      <w:bookmarkEnd w:id="25"/>
      <w:bookmarkEnd w:id="26"/>
    </w:p>
    <w:p w14:paraId="24AF1CFE" w14:textId="28382339" w:rsidR="00AC4666" w:rsidRPr="00C523A7" w:rsidRDefault="6D4B5A4B" w:rsidP="34211287">
      <w:r>
        <w:t xml:space="preserve">De interne audit is uitgevoerd op </w:t>
      </w:r>
      <w:r w:rsidR="00137824">
        <w:t>19-</w:t>
      </w:r>
      <w:r w:rsidR="006E556F">
        <w:t>05</w:t>
      </w:r>
      <w:r w:rsidR="2B4E83E2">
        <w:t>-202</w:t>
      </w:r>
      <w:r w:rsidR="006E556F">
        <w:t>5</w:t>
      </w:r>
      <w:r w:rsidR="2B4E83E2">
        <w:t>, door</w:t>
      </w:r>
      <w:r w:rsidR="009C7B4D">
        <w:t xml:space="preserve"> </w:t>
      </w:r>
      <w:r w:rsidR="006E556F">
        <w:t>Jop Bijvoet</w:t>
      </w:r>
      <w:r>
        <w:t xml:space="preserve"> werkzaam bij De Duurzame Adviseurs. De </w:t>
      </w:r>
      <w:proofErr w:type="spellStart"/>
      <w:r>
        <w:t>auditee</w:t>
      </w:r>
      <w:proofErr w:type="spellEnd"/>
      <w:r>
        <w:t xml:space="preserve"> was </w:t>
      </w:r>
      <w:r w:rsidR="2B4E83E2">
        <w:t>Jelmer Tiebosch</w:t>
      </w:r>
      <w:r>
        <w:t xml:space="preserve">. </w:t>
      </w:r>
      <w:r w:rsidR="7385F39B">
        <w:t>Uit de interne audit</w:t>
      </w:r>
      <w:r>
        <w:t xml:space="preserve"> kwamen de volgende bevindingen:</w:t>
      </w:r>
    </w:p>
    <w:p w14:paraId="02D17B18" w14:textId="77777777" w:rsidR="00AC4666" w:rsidRDefault="00AC4666" w:rsidP="00AC4666"/>
    <w:p w14:paraId="6278AA3C" w14:textId="3E8C8340" w:rsidR="79183ED5" w:rsidRDefault="17E7AF63" w:rsidP="350C7834">
      <w:pPr>
        <w:pStyle w:val="Lijstalinea"/>
        <w:rPr>
          <w:szCs w:val="19"/>
        </w:rPr>
      </w:pPr>
      <w:r w:rsidRPr="350C7834">
        <w:rPr>
          <w:szCs w:val="19"/>
        </w:rPr>
        <w:t>Maatregellijst SKAO invullen</w:t>
      </w:r>
    </w:p>
    <w:p w14:paraId="5223AB4C" w14:textId="5B6267EA" w:rsidR="350C7834" w:rsidRDefault="43AAE1C2" w:rsidP="350C7834">
      <w:pPr>
        <w:pStyle w:val="Lijstalinea"/>
        <w:numPr>
          <w:ilvl w:val="0"/>
          <w:numId w:val="9"/>
        </w:numPr>
        <w:rPr>
          <w:szCs w:val="19"/>
        </w:rPr>
      </w:pPr>
      <w:r w:rsidRPr="3A79F79B">
        <w:rPr>
          <w:szCs w:val="19"/>
        </w:rPr>
        <w:t>Communicatie 2025 heel (inclusief energiemanagementplan)</w:t>
      </w:r>
    </w:p>
    <w:p w14:paraId="7B7B6B98" w14:textId="536DF218" w:rsidR="43AAE1C2" w:rsidRDefault="43AAE1C2" w:rsidP="3A79F79B">
      <w:pPr>
        <w:pStyle w:val="Lijstalinea"/>
        <w:numPr>
          <w:ilvl w:val="0"/>
          <w:numId w:val="9"/>
        </w:numPr>
        <w:rPr>
          <w:szCs w:val="19"/>
        </w:rPr>
      </w:pPr>
      <w:r w:rsidRPr="3A79F79B">
        <w:rPr>
          <w:szCs w:val="19"/>
        </w:rPr>
        <w:t>Updaten Participatiedocument</w:t>
      </w:r>
    </w:p>
    <w:p w14:paraId="458E668E" w14:textId="05D8CE62" w:rsidR="43AAE1C2" w:rsidRDefault="43AAE1C2" w:rsidP="3A79F79B">
      <w:pPr>
        <w:pStyle w:val="Lijstalinea"/>
        <w:numPr>
          <w:ilvl w:val="0"/>
          <w:numId w:val="9"/>
        </w:numPr>
        <w:rPr>
          <w:szCs w:val="19"/>
        </w:rPr>
      </w:pPr>
      <w:r w:rsidRPr="3A79F79B">
        <w:rPr>
          <w:szCs w:val="19"/>
        </w:rPr>
        <w:t>Toevoegen kwalitatieve doelstelling energie</w:t>
      </w:r>
    </w:p>
    <w:p w14:paraId="41BEB2DD" w14:textId="39E57B2A" w:rsidR="003E2E2C" w:rsidRPr="00C523A7" w:rsidRDefault="003E2E2C" w:rsidP="000F7705">
      <w:pPr>
        <w:ind w:left="360"/>
      </w:pPr>
    </w:p>
    <w:p w14:paraId="396BEE9B" w14:textId="567F8D34" w:rsidR="00AC4666" w:rsidRPr="00C523A7" w:rsidRDefault="00AC4666" w:rsidP="00AC4666">
      <w:r>
        <w:t xml:space="preserve">Deze punten zijn inmiddels </w:t>
      </w:r>
      <w:proofErr w:type="gramStart"/>
      <w:r>
        <w:t>conform</w:t>
      </w:r>
      <w:proofErr w:type="gramEnd"/>
      <w:r>
        <w:t xml:space="preserve"> vereisten uitgevoerd. De verificatie van de</w:t>
      </w:r>
      <w:r w:rsidR="008E38D0">
        <w:t xml:space="preserve"> CO</w:t>
      </w:r>
      <w:r w:rsidR="008E38D0" w:rsidRPr="3A79F79B">
        <w:rPr>
          <w:vertAlign w:val="subscript"/>
        </w:rPr>
        <w:t>2</w:t>
      </w:r>
      <w:r>
        <w:t xml:space="preserve">-emissie-inventaris zal plaatsvinden tijdens de externe audit. </w:t>
      </w:r>
      <w:r w:rsidR="004D4BE4">
        <w:t>A</w:t>
      </w:r>
    </w:p>
    <w:p w14:paraId="7CAD9490" w14:textId="77777777" w:rsidR="00AC4666" w:rsidRPr="00313424" w:rsidRDefault="00AC4666" w:rsidP="00AC4666"/>
    <w:p w14:paraId="2A294A81" w14:textId="77777777" w:rsidR="00AC4666" w:rsidRDefault="00AC4666" w:rsidP="00AC4666">
      <w:pPr>
        <w:pStyle w:val="Kop2"/>
      </w:pPr>
      <w:bookmarkStart w:id="27" w:name="_Toc118736206"/>
      <w:bookmarkStart w:id="28" w:name="_Toc142472106"/>
      <w:r>
        <w:lastRenderedPageBreak/>
        <w:t>Bevindingen uit voorgaande externe audits</w:t>
      </w:r>
      <w:bookmarkEnd w:id="27"/>
      <w:bookmarkEnd w:id="28"/>
    </w:p>
    <w:p w14:paraId="0D1C09D0" w14:textId="054FAEBD" w:rsidR="00AC4666" w:rsidRPr="00881CB0" w:rsidRDefault="00B40EEE" w:rsidP="00AC4666">
      <w:r>
        <w:t>Vanuit vorige externe audit zijn onderstaande verbeterpunten naar voren gekomen. Er is per verbeterpunt aangegeven</w:t>
      </w:r>
      <w:r w:rsidR="009F1FA3">
        <w:t xml:space="preserve">, hoe dit is opgelost. </w:t>
      </w:r>
    </w:p>
    <w:p w14:paraId="761BCF68" w14:textId="77777777" w:rsidR="0040289B" w:rsidRPr="007D17AE" w:rsidRDefault="0040289B" w:rsidP="00AC4666">
      <w:pPr>
        <w:rPr>
          <w:color w:val="ED7D31" w:themeColor="accent2"/>
        </w:rPr>
      </w:pPr>
    </w:p>
    <w:p w14:paraId="5A6966AA" w14:textId="2D9E870F" w:rsidR="00A41EA2" w:rsidRPr="00A41EA2" w:rsidRDefault="00A41EA2" w:rsidP="00A41EA2">
      <w:pPr>
        <w:numPr>
          <w:ilvl w:val="0"/>
          <w:numId w:val="45"/>
        </w:numPr>
      </w:pPr>
      <w:r w:rsidRPr="00A41EA2">
        <w:t xml:space="preserve">3.C.2: Er is niet tijdig gecommuniceerd over de halfjaarlijkse cijfers </w:t>
      </w:r>
      <w:r>
        <w:rPr>
          <w:rFonts w:ascii="Wingdings" w:eastAsia="Wingdings" w:hAnsi="Wingdings" w:cs="Wingdings"/>
        </w:rPr>
        <w:t>à</w:t>
      </w:r>
      <w:r w:rsidR="009F1FA3">
        <w:t xml:space="preserve"> De cijfers over 2025 half zijn in februari 2026 gecommuniceerd. </w:t>
      </w:r>
    </w:p>
    <w:p w14:paraId="1894699E" w14:textId="03878F3F" w:rsidR="00A41EA2" w:rsidRPr="00A41EA2" w:rsidRDefault="00A41EA2" w:rsidP="3A6F7D02">
      <w:pPr>
        <w:numPr>
          <w:ilvl w:val="0"/>
          <w:numId w:val="45"/>
        </w:numPr>
      </w:pPr>
      <w:r>
        <w:t xml:space="preserve">4.B.1: De doelstelling moet </w:t>
      </w:r>
      <w:proofErr w:type="spellStart"/>
      <w:r>
        <w:t>tov</w:t>
      </w:r>
      <w:proofErr w:type="spellEnd"/>
      <w:r>
        <w:t xml:space="preserve"> van een referentiejaar worden uitgedrukt. De kwalitatieve voortgang is behaald, maar de kwantitatieve voortgang is niet berekend omdat de gegevens niet beschikbaar zijn. </w:t>
      </w:r>
      <w:r w:rsidR="7070C53A">
        <w:t>--&gt; In 2025-202</w:t>
      </w:r>
      <w:r w:rsidR="3857BE8A">
        <w:t xml:space="preserve">6 is grondig gekeken of </w:t>
      </w:r>
      <w:r w:rsidR="6B8A19A7">
        <w:t>de kwantitatieve voortgang berekend kon worden.</w:t>
      </w:r>
      <w:r w:rsidR="456B8AA7">
        <w:t xml:space="preserve"> </w:t>
      </w:r>
      <w:r w:rsidR="02997935">
        <w:t xml:space="preserve">Dit kon enkel door per project de warmte opwekking in kaart te brengen d.m.v. de flowmeter. Gezien deze data </w:t>
      </w:r>
      <w:r w:rsidR="38FCF733">
        <w:t>niet inzichtelijk</w:t>
      </w:r>
      <w:r w:rsidR="741A3EA4">
        <w:t xml:space="preserve"> is gemaakt,</w:t>
      </w:r>
      <w:r w:rsidR="36FCAB79">
        <w:t xml:space="preserve"> is vanuit Finovi een berekening gemaakt op basis van aantal ge</w:t>
      </w:r>
      <w:r w:rsidR="635D6B95">
        <w:t xml:space="preserve">ïnstalleerde </w:t>
      </w:r>
      <w:r w:rsidR="6F9E73B6">
        <w:t xml:space="preserve">vierkante meters collectorveld. </w:t>
      </w:r>
      <w:r w:rsidR="06A7ECBC">
        <w:t xml:space="preserve">Vanuit de standaard reductie per vierkante meter is het totaal berekend. </w:t>
      </w:r>
    </w:p>
    <w:p w14:paraId="10A48E6B" w14:textId="54ECC19B" w:rsidR="00A41EA2" w:rsidRPr="00A41EA2" w:rsidRDefault="00A41EA2" w:rsidP="00A41EA2">
      <w:pPr>
        <w:numPr>
          <w:ilvl w:val="0"/>
          <w:numId w:val="45"/>
        </w:numPr>
      </w:pPr>
      <w:r w:rsidRPr="00A41EA2">
        <w:t xml:space="preserve">4.A.1: </w:t>
      </w:r>
      <w:r>
        <w:t xml:space="preserve">Zie eis hierboven. </w:t>
      </w:r>
    </w:p>
    <w:p w14:paraId="13F8654F" w14:textId="22044588" w:rsidR="00A41EA2" w:rsidRPr="00A41EA2" w:rsidRDefault="00A41EA2" w:rsidP="00A41EA2">
      <w:pPr>
        <w:numPr>
          <w:ilvl w:val="0"/>
          <w:numId w:val="45"/>
        </w:numPr>
      </w:pPr>
      <w:r w:rsidRPr="00A41EA2">
        <w:t xml:space="preserve">2.A.1: Opbrengst zonnepanelen zijn niet meegenomen </w:t>
      </w:r>
      <w:r>
        <w:rPr>
          <w:rFonts w:ascii="Wingdings" w:eastAsia="Wingdings" w:hAnsi="Wingdings" w:cs="Wingdings"/>
        </w:rPr>
        <w:t>à</w:t>
      </w:r>
      <w:r>
        <w:t xml:space="preserve"> </w:t>
      </w:r>
      <w:r w:rsidR="00603BEC">
        <w:t xml:space="preserve">Dit is toegevoegd aan de footprint van 2025. </w:t>
      </w:r>
    </w:p>
    <w:p w14:paraId="0D97571C" w14:textId="65CDBF43" w:rsidR="00881CB0" w:rsidRDefault="00881CB0" w:rsidP="00881CB0"/>
    <w:p w14:paraId="39834838" w14:textId="65D6A693" w:rsidR="34211287" w:rsidRDefault="34211287"/>
    <w:p w14:paraId="2331DB9E" w14:textId="77777777" w:rsidR="00C81930" w:rsidRPr="00C81930" w:rsidRDefault="00C81930" w:rsidP="00C81930">
      <w:pPr>
        <w:pStyle w:val="Kop2"/>
      </w:pPr>
      <w:bookmarkStart w:id="29" w:name="_Toc118736219"/>
      <w:bookmarkStart w:id="30" w:name="_Toc142472107"/>
      <w:r>
        <w:t>Kansen voor verbetering</w:t>
      </w:r>
      <w:bookmarkEnd w:id="29"/>
      <w:bookmarkEnd w:id="30"/>
    </w:p>
    <w:p w14:paraId="3EC98FFC" w14:textId="4708C2A5" w:rsidR="34211287" w:rsidRPr="004D4BE4" w:rsidRDefault="34211287"/>
    <w:p w14:paraId="70212EA5" w14:textId="58691FE5" w:rsidR="000F7705" w:rsidRPr="004D4BE4" w:rsidRDefault="000F7705" w:rsidP="000F7705">
      <w:pPr>
        <w:pStyle w:val="Lijstalinea"/>
        <w:numPr>
          <w:ilvl w:val="0"/>
          <w:numId w:val="44"/>
        </w:numPr>
      </w:pPr>
      <w:r w:rsidRPr="004D4BE4">
        <w:t>Strakker volgen van de stuurcyclus blijft een aandachtspunt</w:t>
      </w:r>
    </w:p>
    <w:p w14:paraId="5CEC7EA5" w14:textId="6A9B1AA8" w:rsidR="000F7705" w:rsidRPr="004D4BE4" w:rsidRDefault="00421DD9" w:rsidP="00974BCD">
      <w:pPr>
        <w:pStyle w:val="Lijstalinea"/>
        <w:numPr>
          <w:ilvl w:val="0"/>
          <w:numId w:val="44"/>
        </w:numPr>
      </w:pPr>
      <w:r w:rsidRPr="004D4BE4">
        <w:t xml:space="preserve">In gesprek gaan met ketenpartners om de scope 3 data te verbeteren. </w:t>
      </w:r>
    </w:p>
    <w:p w14:paraId="3C59CC77" w14:textId="647F6004" w:rsidR="00974BCD" w:rsidRDefault="00974BCD" w:rsidP="00974BCD">
      <w:pPr>
        <w:pStyle w:val="Lijstalinea"/>
        <w:numPr>
          <w:ilvl w:val="0"/>
          <w:numId w:val="44"/>
        </w:numPr>
      </w:pPr>
      <w:r w:rsidRPr="004D4BE4">
        <w:t>Overstap naar handboek 4.0</w:t>
      </w:r>
      <w:r w:rsidR="004D4BE4">
        <w:t>.</w:t>
      </w:r>
    </w:p>
    <w:p w14:paraId="04F41C1D" w14:textId="2FDE3897" w:rsidR="004D4BE4" w:rsidRPr="004D4BE4" w:rsidRDefault="004D4BE4" w:rsidP="00974BCD">
      <w:pPr>
        <w:pStyle w:val="Lijstalinea"/>
        <w:numPr>
          <w:ilvl w:val="0"/>
          <w:numId w:val="44"/>
        </w:numPr>
      </w:pPr>
      <w:r>
        <w:t xml:space="preserve">Toepassen Flowmeters t.b.v. voortgang ketenanalyse. </w:t>
      </w:r>
    </w:p>
    <w:p w14:paraId="571C9D1C" w14:textId="0C13891A" w:rsidR="00974BCD" w:rsidRPr="004D4BE4" w:rsidRDefault="004D4BE4" w:rsidP="00974BCD">
      <w:pPr>
        <w:pStyle w:val="Lijstalinea"/>
        <w:numPr>
          <w:ilvl w:val="0"/>
          <w:numId w:val="44"/>
        </w:numPr>
      </w:pPr>
      <w:r w:rsidRPr="004D4BE4">
        <w:t xml:space="preserve">Effect groei van Finovi ondervangen in (nieuwe) doelstellingen van handboek 4.0. </w:t>
      </w:r>
    </w:p>
    <w:p w14:paraId="244CAD4B" w14:textId="77777777" w:rsidR="000F7705" w:rsidRPr="000F7705" w:rsidRDefault="000F7705" w:rsidP="000F7705">
      <w:pPr>
        <w:rPr>
          <w:color w:val="ED7D31" w:themeColor="accent2"/>
        </w:rPr>
      </w:pPr>
    </w:p>
    <w:p w14:paraId="2E43202E" w14:textId="77777777" w:rsidR="00512C27" w:rsidRDefault="00512C27" w:rsidP="00512C27">
      <w:pPr>
        <w:pStyle w:val="Kop2"/>
      </w:pPr>
      <w:bookmarkStart w:id="31" w:name="_Toc118736220"/>
      <w:bookmarkStart w:id="32" w:name="_Toc142472108"/>
      <w:r>
        <w:t>Output van de directie</w:t>
      </w:r>
      <w:bookmarkEnd w:id="31"/>
      <w:bookmarkEnd w:id="32"/>
    </w:p>
    <w:p w14:paraId="3374E066" w14:textId="7B1363A9" w:rsidR="418DB5AE" w:rsidRDefault="418DB5AE" w:rsidP="418DB5AE"/>
    <w:p w14:paraId="41E01D9C" w14:textId="72967B6B" w:rsidR="418DB5AE" w:rsidRDefault="45DEFDD8" w:rsidP="6DFACCE0">
      <w:r w:rsidRPr="0DED28DF">
        <w:t>Als directie van Finovi kijken wij positief naar de wijze waarop de CO2 prestatieladder binnen onze organisatie is ingericht en functioneert. Het systeem stelt ons in staat om onze energie en CO2- stromen structureel en inzichtelijk in kaart te brengen en te toetsen aan de door ons gestelde doelstellingen.</w:t>
      </w:r>
    </w:p>
    <w:p w14:paraId="0D142052" w14:textId="34EA0AB2" w:rsidR="0DED28DF" w:rsidRDefault="0DED28DF" w:rsidP="0DED28DF"/>
    <w:p w14:paraId="5BED6EC3" w14:textId="66A8644C" w:rsidR="418DB5AE" w:rsidRDefault="45DEFDD8" w:rsidP="6DFACCE0">
      <w:r w:rsidRPr="0DED28DF">
        <w:t>Door het toepassen van de CO2 prestatieladder beschikken wij over een duidelijk kader voor continue verbetering. Het verzamelen van data en het monitoren van de voortgang bieden ons de noodzakelijke stuurinformatie om tijdig bij te sturen en gerichte maatregelen door te voeren.</w:t>
      </w:r>
    </w:p>
    <w:p w14:paraId="13D2ED67" w14:textId="7FD62ECD" w:rsidR="0DED28DF" w:rsidRDefault="0DED28DF" w:rsidP="0DED28DF"/>
    <w:p w14:paraId="18211670" w14:textId="7C44FF1A" w:rsidR="418DB5AE" w:rsidRDefault="45DEFDD8" w:rsidP="6DFACCE0">
      <w:r w:rsidRPr="6DFACCE0">
        <w:t>Finovi is van nature gedreven door innovatie en het toepassen van duurzame sportsystemen. Het verminderen van energieverbruik en CO2-uitstoot zit in het DNA van onze organisatie en vertaalt zich in zowel onze bedrijfsvoering als in d projecten die wij realiseren. De CO2 prestatieladder sluit hierop aan door deze ambitie concreet en meetbaar te maken.</w:t>
      </w:r>
    </w:p>
    <w:p w14:paraId="66F150F7" w14:textId="1E898EA2" w:rsidR="418DB5AE" w:rsidRDefault="45DEFDD8" w:rsidP="6DFACCE0">
      <w:r w:rsidRPr="0DED28DF">
        <w:t>We constateren van het huidige CO2 managementsysteem bijdraagt aan het behalen van onze reductiedoelstellingen en het vergroten van bewustzijn binnen de organisatie. Tegelijkertijd blijven wij inzetten op verdere optimalisatie, waarbinnen samenwerking en ketenbenadering een belangrijke rol spelen.</w:t>
      </w:r>
    </w:p>
    <w:p w14:paraId="4C204A29" w14:textId="04464EF5" w:rsidR="0DED28DF" w:rsidRDefault="0DED28DF" w:rsidP="0DED28DF"/>
    <w:p w14:paraId="524358B1" w14:textId="27FCBFB8" w:rsidR="418DB5AE" w:rsidRDefault="45DEFDD8" w:rsidP="6DFACCE0">
      <w:r w:rsidRPr="6DFACCE0">
        <w:t>In het kader van de interne audit voor de CO2 prestatieladder zijn een aantal verbetermogelijkheden geconstateerd. Deze hebben betrekking op:</w:t>
      </w:r>
    </w:p>
    <w:p w14:paraId="70686A3A" w14:textId="4E264D1B" w:rsidR="418DB5AE" w:rsidRDefault="45DEFDD8" w:rsidP="6DFACCE0">
      <w:pPr>
        <w:rPr>
          <w:rFonts w:ascii="Aptos" w:eastAsia="Aptos" w:hAnsi="Aptos" w:cs="Aptos"/>
          <w:sz w:val="24"/>
        </w:rPr>
      </w:pPr>
      <w:r w:rsidRPr="6DFACCE0">
        <w:t>Het energiemanagement actieplan beschikbaar stellen;</w:t>
      </w:r>
    </w:p>
    <w:p w14:paraId="1F8D0396" w14:textId="224EBB5C" w:rsidR="418DB5AE" w:rsidRDefault="45DEFDD8" w:rsidP="0DED28DF">
      <w:pPr>
        <w:pStyle w:val="Lijstalinea"/>
        <w:numPr>
          <w:ilvl w:val="0"/>
          <w:numId w:val="3"/>
        </w:numPr>
        <w:rPr>
          <w:rFonts w:ascii="Aptos" w:eastAsia="Aptos" w:hAnsi="Aptos" w:cs="Aptos"/>
          <w:sz w:val="24"/>
        </w:rPr>
      </w:pPr>
      <w:r w:rsidRPr="0DED28DF">
        <w:t>Externe communicatie;</w:t>
      </w:r>
    </w:p>
    <w:p w14:paraId="705FB75D" w14:textId="4E59EC4C" w:rsidR="418DB5AE" w:rsidRDefault="45DEFDD8" w:rsidP="0DED28DF">
      <w:pPr>
        <w:pStyle w:val="Lijstalinea"/>
        <w:numPr>
          <w:ilvl w:val="0"/>
          <w:numId w:val="2"/>
        </w:numPr>
        <w:rPr>
          <w:rFonts w:ascii="Aptos" w:eastAsia="Aptos" w:hAnsi="Aptos" w:cs="Aptos"/>
          <w:sz w:val="24"/>
        </w:rPr>
      </w:pPr>
      <w:r w:rsidRPr="0DED28DF">
        <w:t>Het actueel houden van participaties en initiatieven binnen de keten.</w:t>
      </w:r>
    </w:p>
    <w:p w14:paraId="05A0DF4F" w14:textId="6BD6DB58" w:rsidR="418DB5AE" w:rsidRDefault="45DEFDD8" w:rsidP="0DED28DF">
      <w:pPr>
        <w:pStyle w:val="Lijstalinea"/>
      </w:pPr>
      <w:r w:rsidRPr="0DED28DF">
        <w:t>De verbeterpunten vormen geen belemmering voor de werking van het CO2-systeem en zijn adequaat opgelost.</w:t>
      </w:r>
    </w:p>
    <w:p w14:paraId="771D7E62" w14:textId="1C326768" w:rsidR="0DED28DF" w:rsidRDefault="0DED28DF" w:rsidP="0DED28DF"/>
    <w:p w14:paraId="00A8434C" w14:textId="0453E64C" w:rsidR="418DB5AE" w:rsidRDefault="45DEFDD8" w:rsidP="6DFACCE0">
      <w:r w:rsidRPr="6DFACCE0">
        <w:t>Het CO2 managementsysteem is geschikt en doeltreffend en past bij de strategische richting van Finovi.</w:t>
      </w:r>
    </w:p>
    <w:p w14:paraId="57BDF804" w14:textId="5F99585D" w:rsidR="418DB5AE" w:rsidRDefault="418DB5AE" w:rsidP="418DB5AE"/>
    <w:p w14:paraId="739EBAE5" w14:textId="7472A3AC" w:rsidR="34211287" w:rsidRDefault="34211287"/>
    <w:p w14:paraId="206BB6E4" w14:textId="77777777" w:rsidR="00A05A77" w:rsidRDefault="00A05A77" w:rsidP="00A05A77">
      <w:pPr>
        <w:pStyle w:val="Kop2"/>
      </w:pPr>
      <w:bookmarkStart w:id="33" w:name="_Toc118736221"/>
      <w:bookmarkStart w:id="34" w:name="_Toc142472109"/>
      <w:r>
        <w:lastRenderedPageBreak/>
        <w:t>Budgetten en investeringen</w:t>
      </w:r>
      <w:bookmarkEnd w:id="33"/>
      <w:bookmarkEnd w:id="34"/>
    </w:p>
    <w:p w14:paraId="5F5415A1" w14:textId="77777777" w:rsidR="00A05A77" w:rsidRDefault="00A05A77" w:rsidP="00A05A77">
      <w:r>
        <w:t>Voor het uitvoeren van het plan van aanpak, het behouden van het CO</w:t>
      </w:r>
      <w:r>
        <w:rPr>
          <w:vertAlign w:val="subscript"/>
        </w:rPr>
        <w:t>2</w:t>
      </w:r>
      <w:r>
        <w:t>-Prestatieladder certificaat en participatie aan initiatieven hebben we als directie een budget beschikbaar gesteld. De kosten voor het jaarlijks onderhouden van de CO</w:t>
      </w:r>
      <w:r>
        <w:rPr>
          <w:vertAlign w:val="subscript"/>
        </w:rPr>
        <w:t>2</w:t>
      </w:r>
      <w:r>
        <w:t>-Prestatieladder zijn als volgt:</w:t>
      </w:r>
    </w:p>
    <w:p w14:paraId="37CEA24C" w14:textId="77777777" w:rsidR="008D6DF8" w:rsidRDefault="008D6DF8" w:rsidP="00A05A77"/>
    <w:p w14:paraId="0D350B2A" w14:textId="1AF9324B" w:rsidR="00A05A77" w:rsidRPr="00454750" w:rsidRDefault="00A05A77" w:rsidP="418DB5AE">
      <w:pPr>
        <w:ind w:firstLine="708"/>
        <w:rPr>
          <w:color w:val="ED7D31" w:themeColor="accent2"/>
        </w:rPr>
      </w:pPr>
      <w:r w:rsidRPr="418DB5AE">
        <w:t>€</w:t>
      </w:r>
      <w:r w:rsidR="3F3A8072" w:rsidRPr="418DB5AE">
        <w:t xml:space="preserve"> </w:t>
      </w:r>
      <w:r w:rsidR="75A229BA" w:rsidRPr="418DB5AE">
        <w:t>9</w:t>
      </w:r>
      <w:r w:rsidR="002B0E08" w:rsidRPr="418DB5AE">
        <w:t>.</w:t>
      </w:r>
      <w:r w:rsidR="67923EF2" w:rsidRPr="418DB5AE">
        <w:t>0</w:t>
      </w:r>
      <w:r w:rsidR="002B0E08" w:rsidRPr="418DB5AE">
        <w:t>00</w:t>
      </w:r>
      <w:r>
        <w:tab/>
      </w:r>
      <w:r>
        <w:tab/>
      </w:r>
      <w:r w:rsidRPr="418DB5AE">
        <w:t>Ondersteuning De Duurzame Adviseurs per jaar</w:t>
      </w:r>
    </w:p>
    <w:p w14:paraId="46F9FDA9" w14:textId="259F0474" w:rsidR="00A05A77" w:rsidRPr="00454750" w:rsidRDefault="0001093B" w:rsidP="418DB5AE">
      <w:pPr>
        <w:ind w:firstLine="708"/>
        <w:rPr>
          <w:color w:val="ED7D31" w:themeColor="accent2"/>
        </w:rPr>
      </w:pPr>
      <w:r w:rsidRPr="418DB5AE">
        <w:t>€</w:t>
      </w:r>
      <w:r w:rsidR="17A08E92" w:rsidRPr="418DB5AE">
        <w:t xml:space="preserve"> </w:t>
      </w:r>
      <w:proofErr w:type="gramStart"/>
      <w:r w:rsidR="4FBD097F" w:rsidRPr="418DB5AE">
        <w:t>1.7</w:t>
      </w:r>
      <w:r w:rsidR="5D558013" w:rsidRPr="418DB5AE">
        <w:t>00,</w:t>
      </w:r>
      <w:r w:rsidR="720330BC" w:rsidRPr="418DB5AE">
        <w:t>-</w:t>
      </w:r>
      <w:proofErr w:type="gramEnd"/>
      <w:r>
        <w:tab/>
      </w:r>
      <w:r>
        <w:tab/>
      </w:r>
      <w:r w:rsidR="00A05A77" w:rsidRPr="418DB5AE">
        <w:t>Kosten certificering per jaar</w:t>
      </w:r>
    </w:p>
    <w:p w14:paraId="7F850718" w14:textId="594F723B" w:rsidR="00A05A77" w:rsidRPr="00454750" w:rsidRDefault="0001093B" w:rsidP="418DB5AE">
      <w:pPr>
        <w:ind w:firstLine="708"/>
        <w:rPr>
          <w:color w:val="ED7D31" w:themeColor="accent2"/>
        </w:rPr>
      </w:pPr>
      <w:r w:rsidRPr="418DB5AE">
        <w:t>€</w:t>
      </w:r>
      <w:r w:rsidR="17FE2581" w:rsidRPr="418DB5AE">
        <w:t xml:space="preserve"> 5</w:t>
      </w:r>
      <w:r w:rsidR="43C0BC8D" w:rsidRPr="418DB5AE">
        <w:t>45</w:t>
      </w:r>
      <w:r w:rsidR="17FE2581" w:rsidRPr="418DB5AE">
        <w:t>,-</w:t>
      </w:r>
      <w:r w:rsidRPr="418DB5AE">
        <w:t xml:space="preserve"> </w:t>
      </w:r>
      <w:r>
        <w:tab/>
      </w:r>
      <w:r>
        <w:tab/>
      </w:r>
      <w:r w:rsidR="00A05A77" w:rsidRPr="418DB5AE">
        <w:t>Contributie SKAO</w:t>
      </w:r>
    </w:p>
    <w:p w14:paraId="2D6E2798" w14:textId="51E9BC75" w:rsidR="00A05A77" w:rsidRPr="00454750" w:rsidRDefault="0001093B" w:rsidP="418DB5AE">
      <w:pPr>
        <w:ind w:firstLine="708"/>
        <w:rPr>
          <w:color w:val="ED7D31" w:themeColor="accent2"/>
        </w:rPr>
      </w:pPr>
      <w:r w:rsidRPr="418DB5AE">
        <w:t>€</w:t>
      </w:r>
      <w:r w:rsidR="2453788A" w:rsidRPr="418DB5AE">
        <w:t xml:space="preserve"> </w:t>
      </w:r>
      <w:proofErr w:type="gramStart"/>
      <w:r w:rsidR="2453788A" w:rsidRPr="418DB5AE">
        <w:t>1</w:t>
      </w:r>
      <w:r w:rsidR="17041059" w:rsidRPr="418DB5AE">
        <w:t>2</w:t>
      </w:r>
      <w:r w:rsidR="2453788A" w:rsidRPr="418DB5AE">
        <w:t>.5</w:t>
      </w:r>
      <w:r w:rsidR="6773EB0E" w:rsidRPr="418DB5AE">
        <w:t>0</w:t>
      </w:r>
      <w:r w:rsidR="2453788A" w:rsidRPr="418DB5AE">
        <w:t>0,-</w:t>
      </w:r>
      <w:proofErr w:type="gramEnd"/>
      <w:r w:rsidRPr="418DB5AE">
        <w:t xml:space="preserve"> </w:t>
      </w:r>
      <w:r>
        <w:tab/>
      </w:r>
      <w:r>
        <w:tab/>
      </w:r>
      <w:r w:rsidR="00F44E6E" w:rsidRPr="418DB5AE">
        <w:t>I</w:t>
      </w:r>
      <w:r w:rsidR="00A05A77" w:rsidRPr="418DB5AE">
        <w:t xml:space="preserve">nitiatieven </w:t>
      </w:r>
    </w:p>
    <w:p w14:paraId="75F1C011" w14:textId="77777777" w:rsidR="0001093B" w:rsidRDefault="0001093B" w:rsidP="00A05A77">
      <w:bookmarkStart w:id="35" w:name="_lnxbz9" w:colFirst="0" w:colLast="0"/>
      <w:bookmarkEnd w:id="35"/>
    </w:p>
    <w:p w14:paraId="566241D0" w14:textId="77777777" w:rsidR="00A05A77" w:rsidRDefault="00A05A77" w:rsidP="00A05A77">
      <w:r>
        <w:t>De eventuele besparingen die de maatregelen opleveren, worden waar het kan gebruikt om te investeren in nieuwe maatregelen.</w:t>
      </w:r>
    </w:p>
    <w:p w14:paraId="1283A94C" w14:textId="77777777" w:rsidR="008E38D0" w:rsidRDefault="008E38D0" w:rsidP="00517678">
      <w:pPr>
        <w:spacing w:line="276" w:lineRule="auto"/>
        <w:rPr>
          <w:color w:val="000000"/>
          <w:szCs w:val="19"/>
        </w:rPr>
      </w:pPr>
    </w:p>
    <w:p w14:paraId="60028F31" w14:textId="77777777" w:rsidR="00517678" w:rsidRPr="003A2D7C" w:rsidRDefault="00517678" w:rsidP="00517678">
      <w:pPr>
        <w:spacing w:line="276" w:lineRule="auto"/>
        <w:rPr>
          <w:rFonts w:cs="Verdana"/>
          <w:color w:val="6ABD92"/>
          <w:sz w:val="22"/>
          <w:szCs w:val="22"/>
        </w:rPr>
      </w:pPr>
      <w:r w:rsidRPr="003A2D7C">
        <w:rPr>
          <w:rFonts w:cs="Verdana"/>
          <w:color w:val="6ABD92"/>
          <w:sz w:val="22"/>
          <w:szCs w:val="22"/>
        </w:rPr>
        <w:t>Ondertekening</w:t>
      </w:r>
    </w:p>
    <w:p w14:paraId="5D3C28AF" w14:textId="276ECE8C" w:rsidR="00517678" w:rsidRPr="002B0E08" w:rsidRDefault="00517678" w:rsidP="00517678">
      <w:pPr>
        <w:spacing w:line="276" w:lineRule="auto"/>
        <w:rPr>
          <w:color w:val="ED7D31" w:themeColor="accent2"/>
        </w:rPr>
      </w:pPr>
      <w:r w:rsidRPr="00AB0545">
        <w:rPr>
          <w:color w:val="000000" w:themeColor="text1"/>
        </w:rPr>
        <w:t>Datum</w:t>
      </w:r>
      <w:r w:rsidR="00C501D6">
        <w:rPr>
          <w:color w:val="000000" w:themeColor="text1"/>
        </w:rPr>
        <w:t xml:space="preserve"> directiebeoordeling</w:t>
      </w:r>
      <w:r w:rsidRPr="00AB0545">
        <w:rPr>
          <w:color w:val="000000" w:themeColor="text1"/>
        </w:rPr>
        <w:t>:</w:t>
      </w:r>
      <w:r w:rsidRPr="00EF351C">
        <w:rPr>
          <w:color w:val="ED7D31" w:themeColor="accent2"/>
        </w:rPr>
        <w:tab/>
      </w:r>
      <w:r w:rsidRPr="00EF351C">
        <w:rPr>
          <w:color w:val="ED7D31" w:themeColor="accent2"/>
        </w:rPr>
        <w:tab/>
      </w:r>
      <w:r w:rsidRPr="00EF351C">
        <w:rPr>
          <w:color w:val="ED7D31" w:themeColor="accent2"/>
        </w:rPr>
        <w:tab/>
      </w:r>
      <w:r w:rsidRPr="00EF351C">
        <w:rPr>
          <w:color w:val="ED7D31" w:themeColor="accent2"/>
        </w:rPr>
        <w:tab/>
      </w:r>
      <w:r w:rsidR="00237295" w:rsidRPr="00010583">
        <w:t>19-05</w:t>
      </w:r>
      <w:r w:rsidR="00C84BFE" w:rsidRPr="00010583">
        <w:t>-202</w:t>
      </w:r>
      <w:r w:rsidR="004D4BE4" w:rsidRPr="00010583">
        <w:t>6</w:t>
      </w:r>
    </w:p>
    <w:p w14:paraId="67F1B244" w14:textId="77777777" w:rsidR="00517678" w:rsidRPr="00D670A8" w:rsidRDefault="00517678" w:rsidP="00517678">
      <w:pPr>
        <w:spacing w:line="276" w:lineRule="auto"/>
        <w:rPr>
          <w:sz w:val="22"/>
          <w:szCs w:val="22"/>
        </w:rPr>
      </w:pPr>
    </w:p>
    <w:p w14:paraId="2DE4BAFD" w14:textId="77777777" w:rsidR="00870483" w:rsidRDefault="00870483" w:rsidP="00870483">
      <w:pPr>
        <w:pStyle w:val="Normaalweb"/>
      </w:pPr>
      <w:r>
        <w:rPr>
          <w:noProof/>
        </w:rPr>
        <w:drawing>
          <wp:anchor distT="0" distB="0" distL="114300" distR="114300" simplePos="0" relativeHeight="251659269" behindDoc="1" locked="0" layoutInCell="1" allowOverlap="1" wp14:anchorId="3AE6585F" wp14:editId="0B99A9A6">
            <wp:simplePos x="0" y="0"/>
            <wp:positionH relativeFrom="margin">
              <wp:align>left</wp:align>
            </wp:positionH>
            <wp:positionV relativeFrom="paragraph">
              <wp:posOffset>69850</wp:posOffset>
            </wp:positionV>
            <wp:extent cx="1975292" cy="1209675"/>
            <wp:effectExtent l="0" t="0" r="6350" b="0"/>
            <wp:wrapNone/>
            <wp:docPr id="9414832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5292"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0BBBC" w14:textId="5648BB46" w:rsidR="00517678" w:rsidRPr="00D670A8" w:rsidRDefault="009E3E38" w:rsidP="00517678">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Joris Bevaart</w:t>
      </w:r>
    </w:p>
    <w:p w14:paraId="3A3EFDC1" w14:textId="77777777" w:rsidR="00517678" w:rsidRPr="00D670A8" w:rsidRDefault="00517678" w:rsidP="00517678">
      <w:pPr>
        <w:spacing w:line="276" w:lineRule="auto"/>
      </w:pPr>
    </w:p>
    <w:p w14:paraId="1D99A284" w14:textId="77777777" w:rsidR="00517678" w:rsidRPr="00D670A8" w:rsidRDefault="00517678" w:rsidP="00517678">
      <w:pPr>
        <w:spacing w:line="276" w:lineRule="auto"/>
      </w:pPr>
      <w:r w:rsidRPr="00D670A8">
        <w:t>------------------------</w:t>
      </w:r>
      <w:r>
        <w:tab/>
      </w:r>
      <w:r>
        <w:tab/>
      </w:r>
      <w:r>
        <w:tab/>
      </w:r>
      <w:r>
        <w:tab/>
      </w:r>
      <w:r w:rsidRPr="00D670A8">
        <w:t>------------------------</w:t>
      </w:r>
    </w:p>
    <w:p w14:paraId="29FC6DC8" w14:textId="77777777" w:rsidR="00517678" w:rsidRPr="007117A6" w:rsidRDefault="00517678" w:rsidP="00A05A77">
      <w:pPr>
        <w:rPr>
          <w:color w:val="000000" w:themeColor="text1"/>
        </w:rPr>
      </w:pPr>
      <w:r>
        <w:t>Handtekening</w:t>
      </w:r>
      <w:r>
        <w:tab/>
      </w:r>
      <w:r>
        <w:tab/>
      </w:r>
      <w:r>
        <w:tab/>
      </w:r>
      <w:r>
        <w:tab/>
      </w:r>
      <w:r>
        <w:tab/>
      </w:r>
      <w:r w:rsidRPr="007117A6">
        <w:rPr>
          <w:color w:val="000000" w:themeColor="text1"/>
        </w:rPr>
        <w:t xml:space="preserve">Naam </w:t>
      </w:r>
      <w:r w:rsidR="007117A6">
        <w:rPr>
          <w:color w:val="000000" w:themeColor="text1"/>
        </w:rPr>
        <w:t>en functie</w:t>
      </w:r>
    </w:p>
    <w:p w14:paraId="540C649A" w14:textId="77777777" w:rsidR="000F45A8" w:rsidRPr="002B1AE1" w:rsidRDefault="008F5FF4">
      <w:r w:rsidRPr="0039335A">
        <w:br w:type="page"/>
      </w:r>
      <w:bookmarkEnd w:id="0"/>
    </w:p>
    <w:p w14:paraId="7A7C44B4" w14:textId="77777777" w:rsidR="00832AAA" w:rsidRPr="00BA3E48" w:rsidRDefault="00D76E5E" w:rsidP="000F45A8">
      <w:pPr>
        <w:pStyle w:val="Kop1"/>
      </w:pPr>
      <w:bookmarkStart w:id="36" w:name="_Toc118736222"/>
      <w:bookmarkStart w:id="37" w:name="_Toc142472110"/>
      <w:r w:rsidRPr="00BA3E48">
        <w:lastRenderedPageBreak/>
        <w:t>Leeswijzer</w:t>
      </w:r>
      <w:bookmarkEnd w:id="36"/>
      <w:bookmarkEnd w:id="37"/>
    </w:p>
    <w:p w14:paraId="0C64A8A7" w14:textId="77777777" w:rsidR="00E116F5" w:rsidRDefault="00E116F5" w:rsidP="00E116F5"/>
    <w:p w14:paraId="0CA6BA81" w14:textId="77777777" w:rsidR="004A6A1F" w:rsidRDefault="00296FCD" w:rsidP="004A6A1F">
      <w:r>
        <w:t>Dit dossier is opgebouwd uit verschillende documenten</w:t>
      </w:r>
      <w:r w:rsidR="001B6E8A">
        <w:t>. In dit hoofdstuk wordt toegelicht welk doel elk document dient.</w:t>
      </w:r>
    </w:p>
    <w:p w14:paraId="734DA44D" w14:textId="77777777" w:rsidR="001B6E8A" w:rsidRDefault="001B6E8A" w:rsidP="004A6A1F"/>
    <w:p w14:paraId="04A51C15" w14:textId="77777777" w:rsidR="001B6E8A" w:rsidRDefault="001B6E8A" w:rsidP="004A6A1F">
      <w:pPr>
        <w:rPr>
          <w:b/>
          <w:bCs/>
        </w:rPr>
      </w:pPr>
      <w:r w:rsidRPr="001B6E8A">
        <w:rPr>
          <w:b/>
          <w:bCs/>
        </w:rPr>
        <w:t>CO</w:t>
      </w:r>
      <w:r w:rsidRPr="001B6E8A">
        <w:rPr>
          <w:b/>
          <w:bCs/>
          <w:vertAlign w:val="subscript"/>
        </w:rPr>
        <w:t>2</w:t>
      </w:r>
      <w:r>
        <w:rPr>
          <w:b/>
          <w:bCs/>
        </w:rPr>
        <w:t>-verslag</w:t>
      </w:r>
    </w:p>
    <w:p w14:paraId="4D32F9B7" w14:textId="77777777" w:rsidR="00B16145" w:rsidRDefault="001B6E8A" w:rsidP="004A6A1F">
      <w:r>
        <w:t xml:space="preserve">Dit </w:t>
      </w:r>
      <w:r w:rsidRPr="006C3145">
        <w:t>CO</w:t>
      </w:r>
      <w:r w:rsidRPr="006C3145">
        <w:rPr>
          <w:vertAlign w:val="subscript"/>
        </w:rPr>
        <w:t>2</w:t>
      </w:r>
      <w:r>
        <w:t xml:space="preserve">-verslag omvat </w:t>
      </w:r>
      <w:r w:rsidR="00811265">
        <w:t xml:space="preserve">de tekstuele informatie </w:t>
      </w:r>
      <w:r w:rsidR="00B16145">
        <w:t xml:space="preserve">ter ondersteuning van het </w:t>
      </w:r>
      <w:r w:rsidR="00B16145" w:rsidRPr="006C3145">
        <w:t>CO</w:t>
      </w:r>
      <w:r w:rsidR="00B16145" w:rsidRPr="006C3145">
        <w:rPr>
          <w:vertAlign w:val="subscript"/>
        </w:rPr>
        <w:t>2</w:t>
      </w:r>
      <w:r w:rsidR="00B16145">
        <w:t>-managementsysteem. De opbouw van dit document is als volgt:</w:t>
      </w:r>
    </w:p>
    <w:p w14:paraId="37A2C224" w14:textId="77777777" w:rsidR="00761CF3" w:rsidRDefault="00761CF3" w:rsidP="00523A24">
      <w:pPr>
        <w:pStyle w:val="Lijstalinea"/>
        <w:numPr>
          <w:ilvl w:val="0"/>
          <w:numId w:val="16"/>
        </w:numPr>
      </w:pPr>
      <w:r>
        <w:t xml:space="preserve">Introductie van de </w:t>
      </w:r>
      <w:r w:rsidRPr="006C3145">
        <w:t>CO</w:t>
      </w:r>
      <w:r w:rsidRPr="006C3145">
        <w:rPr>
          <w:vertAlign w:val="subscript"/>
        </w:rPr>
        <w:t>2</w:t>
      </w:r>
      <w:r>
        <w:t>-Prestatieladder</w:t>
      </w:r>
    </w:p>
    <w:p w14:paraId="79FE9EB0" w14:textId="77777777" w:rsidR="008E38D0" w:rsidRDefault="008E38D0" w:rsidP="00523A24">
      <w:pPr>
        <w:pStyle w:val="Lijstalinea"/>
        <w:numPr>
          <w:ilvl w:val="0"/>
          <w:numId w:val="16"/>
        </w:numPr>
      </w:pPr>
      <w:r>
        <w:t>Directiebeoordeling</w:t>
      </w:r>
    </w:p>
    <w:p w14:paraId="381ACE4F" w14:textId="77777777" w:rsidR="00761CF3" w:rsidRDefault="00761CF3" w:rsidP="00523A24">
      <w:pPr>
        <w:pStyle w:val="Lijstalinea"/>
        <w:numPr>
          <w:ilvl w:val="0"/>
          <w:numId w:val="16"/>
        </w:numPr>
      </w:pPr>
      <w:r>
        <w:t>Leeswijzer van de verschillende documenten in het dossier</w:t>
      </w:r>
    </w:p>
    <w:p w14:paraId="776976A6" w14:textId="77777777" w:rsidR="00761CF3" w:rsidRDefault="00761CF3" w:rsidP="00523A24">
      <w:pPr>
        <w:pStyle w:val="Lijstalinea"/>
        <w:numPr>
          <w:ilvl w:val="0"/>
          <w:numId w:val="16"/>
        </w:numPr>
      </w:pPr>
      <w:r>
        <w:t>Beschrijving van de organisatie</w:t>
      </w:r>
    </w:p>
    <w:p w14:paraId="23F9C939" w14:textId="77777777" w:rsidR="00761CF3" w:rsidRDefault="00761CF3" w:rsidP="00523A24">
      <w:pPr>
        <w:pStyle w:val="Lijstalinea"/>
        <w:numPr>
          <w:ilvl w:val="0"/>
          <w:numId w:val="16"/>
        </w:numPr>
      </w:pPr>
      <w:r>
        <w:t xml:space="preserve">Rapportage van de </w:t>
      </w:r>
      <w:r w:rsidRPr="006C3145">
        <w:t>CO</w:t>
      </w:r>
      <w:r w:rsidRPr="006C3145">
        <w:rPr>
          <w:vertAlign w:val="subscript"/>
        </w:rPr>
        <w:t>2</w:t>
      </w:r>
      <w:r>
        <w:t xml:space="preserve">-emissie-inventaris </w:t>
      </w:r>
      <w:proofErr w:type="gramStart"/>
      <w:r>
        <w:t>conform</w:t>
      </w:r>
      <w:proofErr w:type="gramEnd"/>
      <w:r>
        <w:t xml:space="preserve"> ISO 14061-1</w:t>
      </w:r>
    </w:p>
    <w:p w14:paraId="40A9608E" w14:textId="77777777" w:rsidR="00E65D5F" w:rsidRDefault="00DB0297" w:rsidP="00523A24">
      <w:pPr>
        <w:pStyle w:val="Lijstalinea"/>
        <w:numPr>
          <w:ilvl w:val="0"/>
          <w:numId w:val="16"/>
        </w:numPr>
      </w:pPr>
      <w:r>
        <w:t>Voortgang en ambitiebepaling</w:t>
      </w:r>
    </w:p>
    <w:p w14:paraId="3CEA010D" w14:textId="77777777" w:rsidR="001B6E8A" w:rsidRDefault="00E65D5F" w:rsidP="00E65D5F">
      <w:pPr>
        <w:ind w:firstLine="360"/>
      </w:pPr>
      <w:r>
        <w:t xml:space="preserve">Bijlage A: Toelichting van de </w:t>
      </w:r>
      <w:proofErr w:type="spellStart"/>
      <w:r>
        <w:t>organizational</w:t>
      </w:r>
      <w:proofErr w:type="spellEnd"/>
      <w:r>
        <w:t xml:space="preserve"> </w:t>
      </w:r>
      <w:proofErr w:type="spellStart"/>
      <w:r>
        <w:t>boundary</w:t>
      </w:r>
      <w:proofErr w:type="spellEnd"/>
    </w:p>
    <w:p w14:paraId="783724EA" w14:textId="77777777" w:rsidR="00C26E4C" w:rsidRPr="00BA3E48" w:rsidRDefault="00C26E4C" w:rsidP="004A6A1F"/>
    <w:p w14:paraId="76901300" w14:textId="77777777" w:rsidR="000F61A2" w:rsidRDefault="000F61A2">
      <w:pPr>
        <w:rPr>
          <w:b/>
          <w:bCs/>
        </w:rPr>
      </w:pPr>
      <w:r w:rsidRPr="000F61A2">
        <w:rPr>
          <w:b/>
          <w:bCs/>
        </w:rPr>
        <w:t>CO</w:t>
      </w:r>
      <w:r w:rsidRPr="000F61A2">
        <w:rPr>
          <w:b/>
          <w:bCs/>
          <w:vertAlign w:val="subscript"/>
        </w:rPr>
        <w:t>2</w:t>
      </w:r>
      <w:r>
        <w:rPr>
          <w:b/>
          <w:bCs/>
        </w:rPr>
        <w:t>-dashboard</w:t>
      </w:r>
    </w:p>
    <w:p w14:paraId="1035D9B8" w14:textId="77777777" w:rsidR="00373BAA" w:rsidRDefault="002D0A04">
      <w:r w:rsidRPr="00E20543">
        <w:t>Het Excel document “CO</w:t>
      </w:r>
      <w:r w:rsidRPr="00E20543">
        <w:rPr>
          <w:vertAlign w:val="subscript"/>
        </w:rPr>
        <w:t>2</w:t>
      </w:r>
      <w:r w:rsidRPr="00E20543">
        <w:t xml:space="preserve">-dashboard” </w:t>
      </w:r>
      <w:r w:rsidR="008B67A2" w:rsidRPr="00E20543">
        <w:t xml:space="preserve">omvat de </w:t>
      </w:r>
      <w:r w:rsidR="00A50498" w:rsidRPr="00E20543">
        <w:t xml:space="preserve">scope 1, 2 en business </w:t>
      </w:r>
      <w:proofErr w:type="spellStart"/>
      <w:r w:rsidR="00A50498" w:rsidRPr="00E20543">
        <w:t>travel</w:t>
      </w:r>
      <w:proofErr w:type="spellEnd"/>
      <w:r w:rsidR="00A50498" w:rsidRPr="00E20543">
        <w:t xml:space="preserve"> CO</w:t>
      </w:r>
      <w:r w:rsidR="00A50498" w:rsidRPr="00E20543">
        <w:rPr>
          <w:vertAlign w:val="subscript"/>
        </w:rPr>
        <w:t>2</w:t>
      </w:r>
      <w:r w:rsidR="00A50498" w:rsidRPr="00E20543">
        <w:t>-emissies</w:t>
      </w:r>
      <w:r w:rsidR="00E20543" w:rsidRPr="00E20543">
        <w:t xml:space="preserve"> en energieverbruiken</w:t>
      </w:r>
      <w:r w:rsidR="00373BAA">
        <w:t xml:space="preserve"> en de voortgang hiervan</w:t>
      </w:r>
      <w:r w:rsidR="00E20543">
        <w:t xml:space="preserve">. </w:t>
      </w:r>
      <w:r w:rsidR="007B6471">
        <w:t xml:space="preserve">In het tabblad “data” </w:t>
      </w:r>
      <w:r w:rsidR="0034339B">
        <w:t xml:space="preserve">worden de brongegevens ingevoerd en gekoppeld aan de juiste </w:t>
      </w:r>
      <w:r w:rsidR="0034339B" w:rsidRPr="006C3145">
        <w:t>CO</w:t>
      </w:r>
      <w:r w:rsidR="0034339B" w:rsidRPr="006C3145">
        <w:rPr>
          <w:vertAlign w:val="subscript"/>
        </w:rPr>
        <w:t>2</w:t>
      </w:r>
      <w:r w:rsidR="0034339B">
        <w:t xml:space="preserve">-emissiefactoren van dat jaar vanuit het tabblad “input keuzevariabelen”. </w:t>
      </w:r>
    </w:p>
    <w:p w14:paraId="7CEE1EEA" w14:textId="77777777" w:rsidR="00373BAA" w:rsidRDefault="00373BAA"/>
    <w:p w14:paraId="5624E441" w14:textId="77777777" w:rsidR="00373BAA" w:rsidRDefault="00373BAA">
      <w:pPr>
        <w:rPr>
          <w:b/>
          <w:bCs/>
        </w:rPr>
      </w:pPr>
      <w:r>
        <w:rPr>
          <w:b/>
          <w:bCs/>
        </w:rPr>
        <w:t>Acties, planning en verantwoordelijkheden</w:t>
      </w:r>
    </w:p>
    <w:p w14:paraId="60556528" w14:textId="77777777" w:rsidR="00450E45" w:rsidRDefault="00373BAA">
      <w:r>
        <w:t xml:space="preserve">Het Excel document “Acties, planning en verantwoordelijkheden” omvat </w:t>
      </w:r>
      <w:r w:rsidR="00A0270F">
        <w:t xml:space="preserve">de stuurcyclus en het energiemanagement actieplan voor het onderhouden van het </w:t>
      </w:r>
      <w:r w:rsidR="00A0270F" w:rsidRPr="006C3145">
        <w:t>CO</w:t>
      </w:r>
      <w:r w:rsidR="00A0270F" w:rsidRPr="006C3145">
        <w:rPr>
          <w:vertAlign w:val="subscript"/>
        </w:rPr>
        <w:t>2</w:t>
      </w:r>
      <w:r w:rsidR="00A0270F">
        <w:t>-managementsysteem</w:t>
      </w:r>
      <w:r w:rsidR="00DB4A1C">
        <w:t xml:space="preserve">. Hierin worden acties, planning en verantwoordelijkheden </w:t>
      </w:r>
      <w:r w:rsidR="00E7281A">
        <w:t>omschreven, belanghebbenden geïdentificeerd</w:t>
      </w:r>
      <w:r w:rsidR="00D92739">
        <w:t xml:space="preserve"> en </w:t>
      </w:r>
      <w:r w:rsidR="00E11C4E">
        <w:t xml:space="preserve">wordt een checklist met de verplichte communicatie bijgehouden. Verder </w:t>
      </w:r>
      <w:r w:rsidR="00DB6539">
        <w:t xml:space="preserve">wordt </w:t>
      </w:r>
      <w:r w:rsidR="00450E45">
        <w:t xml:space="preserve">de dataverzamelingsprocedure vastgelegd en het plan van aanpak voor </w:t>
      </w:r>
      <w:r w:rsidR="00450E45" w:rsidRPr="006C3145">
        <w:t>CO</w:t>
      </w:r>
      <w:r w:rsidR="00450E45" w:rsidRPr="006C3145">
        <w:rPr>
          <w:vertAlign w:val="subscript"/>
        </w:rPr>
        <w:t>2</w:t>
      </w:r>
      <w:r w:rsidR="00450E45">
        <w:t xml:space="preserve">-reductiemaatregelen inclusief berekening van de </w:t>
      </w:r>
      <w:r w:rsidR="00450E45" w:rsidRPr="006C3145">
        <w:t>CO</w:t>
      </w:r>
      <w:r w:rsidR="00450E45" w:rsidRPr="006C3145">
        <w:rPr>
          <w:vertAlign w:val="subscript"/>
        </w:rPr>
        <w:t>2</w:t>
      </w:r>
      <w:r w:rsidR="00450E45">
        <w:t xml:space="preserve">-reductiedoelstellingen omschreven. </w:t>
      </w:r>
    </w:p>
    <w:p w14:paraId="47169DAD" w14:textId="77777777" w:rsidR="00450E45" w:rsidRDefault="00450E45"/>
    <w:p w14:paraId="49ABD023" w14:textId="77777777" w:rsidR="005640DA" w:rsidRDefault="005640DA" w:rsidP="005640DA">
      <w:pPr>
        <w:rPr>
          <w:b/>
          <w:bCs/>
          <w:color w:val="000000" w:themeColor="text1"/>
        </w:rPr>
      </w:pPr>
      <w:r w:rsidRPr="0058181D">
        <w:rPr>
          <w:b/>
          <w:bCs/>
          <w:color w:val="000000" w:themeColor="text1"/>
        </w:rPr>
        <w:t>CO</w:t>
      </w:r>
      <w:r w:rsidRPr="0058181D">
        <w:rPr>
          <w:b/>
          <w:bCs/>
          <w:color w:val="000000" w:themeColor="text1"/>
          <w:vertAlign w:val="subscript"/>
        </w:rPr>
        <w:t>2</w:t>
      </w:r>
      <w:r>
        <w:rPr>
          <w:b/>
          <w:bCs/>
          <w:color w:val="000000" w:themeColor="text1"/>
        </w:rPr>
        <w:t>-emissie-inventaris scope 3 en voortgang</w:t>
      </w:r>
    </w:p>
    <w:p w14:paraId="5F5CA3D5" w14:textId="233F16AD" w:rsidR="005640DA" w:rsidRDefault="005640DA" w:rsidP="005640DA">
      <w:r w:rsidRPr="00E20543">
        <w:t>Het Excel document “CO</w:t>
      </w:r>
      <w:r w:rsidRPr="00E20543">
        <w:rPr>
          <w:vertAlign w:val="subscript"/>
        </w:rPr>
        <w:t>2</w:t>
      </w:r>
      <w:r w:rsidRPr="00E20543">
        <w:t>-</w:t>
      </w:r>
      <w:r>
        <w:t>emissie-inventaris scope 3 en voortgang”</w:t>
      </w:r>
      <w:r w:rsidRPr="00E20543">
        <w:t xml:space="preserve"> omvat </w:t>
      </w:r>
      <w:r>
        <w:t>de kwalitatieve en kwantitatieve scope 3 analyse. In de kwalitatieve analyse worden onderwerp</w:t>
      </w:r>
      <w:r w:rsidRPr="00D43A5A">
        <w:rPr>
          <w:color w:val="ED7D31" w:themeColor="accent2"/>
        </w:rPr>
        <w:t xml:space="preserve"> </w:t>
      </w:r>
      <w:r>
        <w:t xml:space="preserve">voor de ketenanalyse bepaald en in de kwantitatieve analyse worden </w:t>
      </w:r>
      <w:r w:rsidRPr="00E20543">
        <w:t xml:space="preserve">de scope </w:t>
      </w:r>
      <w:r>
        <w:t xml:space="preserve">3 </w:t>
      </w:r>
      <w:r w:rsidRPr="00E20543">
        <w:t>CO</w:t>
      </w:r>
      <w:r w:rsidRPr="00E20543">
        <w:rPr>
          <w:vertAlign w:val="subscript"/>
        </w:rPr>
        <w:t>2</w:t>
      </w:r>
      <w:r w:rsidRPr="00E20543">
        <w:t xml:space="preserve">-emissies </w:t>
      </w:r>
      <w:r>
        <w:t xml:space="preserve">en de voortgang hiervan weergegeven. In het tabblad “data” worden de brongegevens ingevoerd en gekoppeld aan de juiste </w:t>
      </w:r>
      <w:r w:rsidRPr="006C3145">
        <w:t>CO</w:t>
      </w:r>
      <w:r w:rsidRPr="006C3145">
        <w:rPr>
          <w:vertAlign w:val="subscript"/>
        </w:rPr>
        <w:t>2</w:t>
      </w:r>
      <w:r>
        <w:t xml:space="preserve">-emissiefactoren vanuit het tabblad “input keuzevariabelen”. </w:t>
      </w:r>
    </w:p>
    <w:p w14:paraId="00060969" w14:textId="77777777" w:rsidR="005640DA" w:rsidRDefault="005640DA" w:rsidP="005640DA">
      <w:pPr>
        <w:rPr>
          <w:b/>
          <w:bCs/>
          <w:color w:val="000000" w:themeColor="text1"/>
        </w:rPr>
      </w:pPr>
    </w:p>
    <w:p w14:paraId="02A3AB42" w14:textId="3C00E93D" w:rsidR="005640DA" w:rsidRPr="002A4F58" w:rsidRDefault="005640DA" w:rsidP="005640DA">
      <w:pPr>
        <w:rPr>
          <w:b/>
          <w:bCs/>
          <w:color w:val="ED7D31" w:themeColor="accent2"/>
        </w:rPr>
      </w:pPr>
      <w:r>
        <w:rPr>
          <w:b/>
          <w:bCs/>
          <w:color w:val="000000" w:themeColor="text1"/>
        </w:rPr>
        <w:t>Ketenanalyse</w:t>
      </w:r>
    </w:p>
    <w:p w14:paraId="5BEDB999" w14:textId="77777777" w:rsidR="005640DA" w:rsidRDefault="005640DA" w:rsidP="005640DA">
      <w:pPr>
        <w:rPr>
          <w:color w:val="000000" w:themeColor="text1"/>
        </w:rPr>
      </w:pPr>
      <w:r>
        <w:rPr>
          <w:color w:val="000000" w:themeColor="text1"/>
        </w:rPr>
        <w:t xml:space="preserve">In dit document wordt de </w:t>
      </w:r>
      <w:r w:rsidRPr="001D06D3">
        <w:rPr>
          <w:color w:val="000000" w:themeColor="text1"/>
        </w:rPr>
        <w:t>CO</w:t>
      </w:r>
      <w:r w:rsidRPr="001D06D3">
        <w:rPr>
          <w:color w:val="000000" w:themeColor="text1"/>
          <w:vertAlign w:val="subscript"/>
        </w:rPr>
        <w:t>2</w:t>
      </w:r>
      <w:r>
        <w:rPr>
          <w:color w:val="000000" w:themeColor="text1"/>
        </w:rPr>
        <w:t xml:space="preserve">-uitstoot van een bepaalde keten geanalyseerd en wordt hierop een </w:t>
      </w:r>
      <w:r w:rsidRPr="001D06D3">
        <w:rPr>
          <w:color w:val="000000" w:themeColor="text1"/>
        </w:rPr>
        <w:t>CO</w:t>
      </w:r>
      <w:r w:rsidRPr="001D06D3">
        <w:rPr>
          <w:color w:val="000000" w:themeColor="text1"/>
          <w:vertAlign w:val="subscript"/>
        </w:rPr>
        <w:t>2</w:t>
      </w:r>
      <w:r>
        <w:rPr>
          <w:color w:val="000000" w:themeColor="text1"/>
        </w:rPr>
        <w:t xml:space="preserve">-reductiedoelstelling voor de keten opgesteld. </w:t>
      </w:r>
    </w:p>
    <w:p w14:paraId="49F61A09" w14:textId="77777777" w:rsidR="00C26E4C" w:rsidRPr="00E20543" w:rsidRDefault="00C26E4C">
      <w:r w:rsidRPr="00E20543">
        <w:br w:type="page"/>
      </w:r>
    </w:p>
    <w:p w14:paraId="0151B1C7" w14:textId="77777777" w:rsidR="00B678A6" w:rsidRPr="005B1065" w:rsidRDefault="00A14DAA" w:rsidP="005B1065">
      <w:pPr>
        <w:pStyle w:val="Kop1"/>
      </w:pPr>
      <w:bookmarkStart w:id="38" w:name="_Toc118736223"/>
      <w:bookmarkStart w:id="39" w:name="_Toc142472111"/>
      <w:r w:rsidRPr="005B1065">
        <w:lastRenderedPageBreak/>
        <w:t>Beschrijving van de organisatie</w:t>
      </w:r>
      <w:bookmarkEnd w:id="38"/>
      <w:bookmarkEnd w:id="39"/>
    </w:p>
    <w:p w14:paraId="361DBEFD" w14:textId="77777777" w:rsidR="00A12A26" w:rsidRPr="00BA3E48" w:rsidRDefault="00A12A26" w:rsidP="00A12A26"/>
    <w:p w14:paraId="2E34C362" w14:textId="77777777" w:rsidR="00A12A26" w:rsidRPr="005B1065" w:rsidRDefault="00A12A26" w:rsidP="005B1065">
      <w:pPr>
        <w:pStyle w:val="Kop2"/>
      </w:pPr>
      <w:bookmarkStart w:id="40" w:name="_Toc118736224"/>
      <w:bookmarkStart w:id="41" w:name="_Toc142472112"/>
      <w:r w:rsidRPr="005B1065">
        <w:t>Introductie</w:t>
      </w:r>
      <w:bookmarkEnd w:id="40"/>
      <w:bookmarkEnd w:id="41"/>
      <w:r w:rsidRPr="005B1065">
        <w:t xml:space="preserve"> </w:t>
      </w:r>
    </w:p>
    <w:p w14:paraId="30824DE1" w14:textId="338E04D1" w:rsidR="00DD4E0B" w:rsidRPr="00E72D1A" w:rsidRDefault="4CB82B80" w:rsidP="00DD4E0B">
      <w:r>
        <w:t xml:space="preserve">Finovi </w:t>
      </w:r>
      <w:r w:rsidR="00DD4E0B">
        <w:t xml:space="preserve">is actief in heel Nederland en richt zich met name op de aanleg, onderhoud en recycling van kunstgras sportvelden. </w:t>
      </w:r>
      <w:r w:rsidR="5DA218FF">
        <w:t xml:space="preserve">In 2023 is Finovi een naamswijziging ondergaan, voorheen was het bedrijf landelijk bekend onder de naam </w:t>
      </w:r>
      <w:proofErr w:type="spellStart"/>
      <w:r w:rsidR="5DA218FF">
        <w:t>TopGrass</w:t>
      </w:r>
      <w:proofErr w:type="spellEnd"/>
      <w:r w:rsidR="5DA218FF">
        <w:t xml:space="preserve">. Met de naamswijziging wil Finovi </w:t>
      </w:r>
      <w:r w:rsidR="2CA2ECA6">
        <w:t xml:space="preserve">innovatie uitstraten, in de naam komen de woorden </w:t>
      </w:r>
      <w:r w:rsidR="2CA2ECA6" w:rsidRPr="02945BCA">
        <w:rPr>
          <w:i/>
          <w:iCs/>
        </w:rPr>
        <w:t xml:space="preserve">Fields </w:t>
      </w:r>
      <w:r w:rsidR="2CA2ECA6">
        <w:t xml:space="preserve">en </w:t>
      </w:r>
      <w:r w:rsidR="2CA2ECA6" w:rsidRPr="02945BCA">
        <w:rPr>
          <w:i/>
          <w:iCs/>
        </w:rPr>
        <w:t xml:space="preserve">Noviteit </w:t>
      </w:r>
      <w:r w:rsidR="2CA2ECA6">
        <w:t>terug.</w:t>
      </w:r>
      <w:r w:rsidR="00DD4E0B">
        <w:t xml:space="preserve"> </w:t>
      </w:r>
      <w:r w:rsidR="3EE40762">
        <w:t>Finovi</w:t>
      </w:r>
      <w:r w:rsidR="00DD4E0B">
        <w:t xml:space="preserve"> verzorgt </w:t>
      </w:r>
      <w:r w:rsidR="7E49CEA4">
        <w:t>voornamelijk</w:t>
      </w:r>
      <w:r w:rsidR="00DD4E0B">
        <w:t xml:space="preserve"> de aanleg, onderhoud en recycling van</w:t>
      </w:r>
      <w:r w:rsidR="55159F70">
        <w:t xml:space="preserve"> sport- en trapvelden. Daarnaast is een klein deel van de organisatie ingericht op de realisatie van kunstgras </w:t>
      </w:r>
      <w:proofErr w:type="spellStart"/>
      <w:r w:rsidR="55159F70">
        <w:t>landscaping</w:t>
      </w:r>
      <w:proofErr w:type="spellEnd"/>
      <w:r w:rsidR="55159F70">
        <w:t xml:space="preserve"> en speel- en siertuigen.</w:t>
      </w:r>
    </w:p>
    <w:p w14:paraId="15DF2F98" w14:textId="578EFDC9" w:rsidR="578BDD80" w:rsidRDefault="578BDD80"/>
    <w:p w14:paraId="55840717" w14:textId="40744B47" w:rsidR="4236DE97" w:rsidRDefault="1E05FBEF">
      <w:r>
        <w:t>Opdrachten voor r</w:t>
      </w:r>
      <w:r w:rsidR="3A87893F">
        <w:t>ealisatie van sport- en trapvelden word</w:t>
      </w:r>
      <w:r w:rsidR="4DCE1D63">
        <w:t>en voornamelijk openbaar aanbesteed, opdrachtgevers hiertoe zijn veelal gemeenten. Een klein</w:t>
      </w:r>
      <w:r w:rsidR="611592DD">
        <w:t>er</w:t>
      </w:r>
      <w:r w:rsidR="4DCE1D63">
        <w:t xml:space="preserve"> deel van de opdrachten wordt rechtstreeks uit</w:t>
      </w:r>
      <w:r w:rsidR="0BB9342E">
        <w:t>gevoerd voor sportclubs en sportverenigingen.</w:t>
      </w:r>
    </w:p>
    <w:p w14:paraId="624334DF" w14:textId="7CCD2CF2" w:rsidR="1E5D7193" w:rsidRDefault="1E5D7193"/>
    <w:p w14:paraId="5AA04DC0" w14:textId="3137547B" w:rsidR="1417B780" w:rsidRDefault="680B14F9">
      <w:r>
        <w:t>Naast reguliere bouw van sportvelden is Finovi dagelijks bezig met de ontwikkeling van diverse systemen om de s</w:t>
      </w:r>
      <w:r w:rsidR="051D0E09">
        <w:t xml:space="preserve">portvelden </w:t>
      </w:r>
      <w:r>
        <w:t>te verduurzamen. Zo</w:t>
      </w:r>
      <w:r w:rsidR="6585EE31">
        <w:t xml:space="preserve"> zijn er diverse mogelijkheden ontwikkeld om waterberging onder kunstgrasvelden te organiseren, daarnaast is er een collectorveld ontwikkeld om met warmte van kunstgrasvelden </w:t>
      </w:r>
      <w:r w:rsidR="50E58696">
        <w:t>energie op te wekken</w:t>
      </w:r>
      <w:r w:rsidR="13A1006C">
        <w:t xml:space="preserve">, dit systeem is </w:t>
      </w:r>
      <w:proofErr w:type="gramStart"/>
      <w:r w:rsidR="13A1006C">
        <w:t>tevens</w:t>
      </w:r>
      <w:proofErr w:type="gramEnd"/>
      <w:r w:rsidR="13A1006C">
        <w:t xml:space="preserve"> uitgewerkt in een ketenanalyse</w:t>
      </w:r>
      <w:r w:rsidR="50E58696">
        <w:t>.</w:t>
      </w:r>
    </w:p>
    <w:p w14:paraId="42AC7544" w14:textId="5A0AC46B" w:rsidR="001D3244" w:rsidRPr="00BA3E48" w:rsidRDefault="001D3244" w:rsidP="001D3244"/>
    <w:p w14:paraId="7F11EA7C" w14:textId="73311527" w:rsidR="00074AF0" w:rsidRDefault="214C4F28" w:rsidP="00074AF0">
      <w:r>
        <w:t xml:space="preserve">Finovi </w:t>
      </w:r>
      <w:r w:rsidR="745DB90C">
        <w:t xml:space="preserve">streeft </w:t>
      </w:r>
      <w:r w:rsidR="47ED0226">
        <w:t xml:space="preserve">ernaar meer impact te maken door een scherpte blik gericht op duurzame innovaties. </w:t>
      </w:r>
      <w:r w:rsidR="2161FF03">
        <w:t xml:space="preserve">Daarbij staat CO2-reductie </w:t>
      </w:r>
      <w:r w:rsidR="794200D2">
        <w:t xml:space="preserve">en energiereductie </w:t>
      </w:r>
      <w:r w:rsidR="2161FF03">
        <w:t>in het gehele proces (van ontwerpt en realisatie tot gebruik en einde levensfase) centraal.</w:t>
      </w:r>
    </w:p>
    <w:p w14:paraId="1D5349C5" w14:textId="0FA99A26" w:rsidR="31AD926C" w:rsidRDefault="31AD926C"/>
    <w:p w14:paraId="6D5DA08A" w14:textId="77777777" w:rsidR="00074AF0" w:rsidRPr="007B563D" w:rsidRDefault="00074AF0" w:rsidP="005B1065">
      <w:pPr>
        <w:pStyle w:val="Kop2"/>
      </w:pPr>
      <w:bookmarkStart w:id="42" w:name="_Toc18488478"/>
      <w:bookmarkStart w:id="43" w:name="_Toc90908397"/>
      <w:bookmarkStart w:id="44" w:name="_Toc118736225"/>
      <w:bookmarkStart w:id="45" w:name="_Toc142472113"/>
      <w:bookmarkStart w:id="46" w:name="_Hlk47096995"/>
      <w:r w:rsidRPr="007B563D">
        <w:t>Verantwoordelijke</w:t>
      </w:r>
      <w:bookmarkEnd w:id="42"/>
      <w:bookmarkEnd w:id="43"/>
      <w:bookmarkEnd w:id="44"/>
      <w:bookmarkEnd w:id="45"/>
    </w:p>
    <w:p w14:paraId="3BE4B3F6" w14:textId="0F8B63C8" w:rsidR="00074AF0" w:rsidRDefault="00F648A4" w:rsidP="00DF5869">
      <w:r w:rsidRPr="00F648A4">
        <w:t>Jelmer Tiebosch i</w:t>
      </w:r>
      <w:r w:rsidR="00074AF0" w:rsidRPr="00F648A4">
        <w:t xml:space="preserve">s </w:t>
      </w:r>
      <w:r w:rsidR="00074AF0" w:rsidRPr="005F70BB">
        <w:t>de interne verantwoordelijke</w:t>
      </w:r>
      <w:r w:rsidR="00074AF0">
        <w:t xml:space="preserve"> voor het beheren van de </w:t>
      </w:r>
      <w:r w:rsidR="00074AF0" w:rsidRPr="006C3145">
        <w:t>CO</w:t>
      </w:r>
      <w:r w:rsidR="00074AF0" w:rsidRPr="006C3145">
        <w:rPr>
          <w:vertAlign w:val="subscript"/>
        </w:rPr>
        <w:t>2</w:t>
      </w:r>
      <w:r w:rsidR="00074AF0">
        <w:t>-Prestatieladder</w:t>
      </w:r>
      <w:r w:rsidR="00074AF0" w:rsidRPr="005F70BB">
        <w:t xml:space="preserve">. </w:t>
      </w:r>
      <w:r w:rsidR="00150924" w:rsidRPr="00150924">
        <w:rPr>
          <w:color w:val="000000" w:themeColor="text1"/>
        </w:rPr>
        <w:t>Deze persoon</w:t>
      </w:r>
      <w:r w:rsidR="00074AF0" w:rsidRPr="00150924">
        <w:rPr>
          <w:color w:val="000000" w:themeColor="text1"/>
        </w:rPr>
        <w:t xml:space="preserve"> </w:t>
      </w:r>
      <w:r w:rsidR="00074AF0" w:rsidRPr="005F70BB">
        <w:t xml:space="preserve">draagt verantwoordelijkheid voor het uitzetten van taken, toewijzen van verantwoordelijkheden en het rapporteren aan het </w:t>
      </w:r>
      <w:r w:rsidR="00074AF0">
        <w:t>management</w:t>
      </w:r>
      <w:r w:rsidR="00074AF0" w:rsidRPr="005F70BB">
        <w:t xml:space="preserve">. Voor het opstellen van alle bijbehorende documentatie voor </w:t>
      </w:r>
      <w:r w:rsidR="00074AF0" w:rsidRPr="00015883">
        <w:t xml:space="preserve">het behouden van niveau </w:t>
      </w:r>
      <w:r w:rsidR="00015883" w:rsidRPr="00015883">
        <w:t>5</w:t>
      </w:r>
      <w:r w:rsidR="00074AF0" w:rsidRPr="00015883">
        <w:t xml:space="preserve"> </w:t>
      </w:r>
      <w:r w:rsidR="00074AF0" w:rsidRPr="005F70BB">
        <w:t>op de CO</w:t>
      </w:r>
      <w:r w:rsidR="00074AF0" w:rsidRPr="005F70BB">
        <w:rPr>
          <w:vertAlign w:val="subscript"/>
        </w:rPr>
        <w:t>2</w:t>
      </w:r>
      <w:r w:rsidR="00074AF0" w:rsidRPr="005F70BB">
        <w:t>-Prestatieladder wordt</w:t>
      </w:r>
      <w:r w:rsidR="00074AF0">
        <w:t xml:space="preserve"> de organisatie </w:t>
      </w:r>
      <w:r w:rsidR="00074AF0" w:rsidRPr="005F70BB">
        <w:t>ondersteund door het adviesbureau De Duurzame Adviseurs.</w:t>
      </w:r>
    </w:p>
    <w:bookmarkEnd w:id="46"/>
    <w:p w14:paraId="4FD8B883" w14:textId="77777777" w:rsidR="00F063DE" w:rsidRPr="00BA3E48" w:rsidRDefault="00F063DE" w:rsidP="00F063DE"/>
    <w:p w14:paraId="482B52C1" w14:textId="77777777" w:rsidR="00F063DE" w:rsidRPr="00BA3E48" w:rsidRDefault="00F063DE" w:rsidP="005B1065">
      <w:pPr>
        <w:pStyle w:val="Kop2"/>
      </w:pPr>
      <w:bookmarkStart w:id="47" w:name="_Organizational_boundary_1"/>
      <w:bookmarkStart w:id="48" w:name="_Toc118736226"/>
      <w:bookmarkStart w:id="49" w:name="_Toc142472114"/>
      <w:bookmarkEnd w:id="47"/>
      <w:proofErr w:type="spellStart"/>
      <w:r w:rsidRPr="00BA3E48">
        <w:t>Organizational</w:t>
      </w:r>
      <w:proofErr w:type="spellEnd"/>
      <w:r w:rsidRPr="00BA3E48">
        <w:t xml:space="preserve"> </w:t>
      </w:r>
      <w:proofErr w:type="spellStart"/>
      <w:r w:rsidRPr="00BA3E48">
        <w:t>boundary</w:t>
      </w:r>
      <w:bookmarkEnd w:id="48"/>
      <w:bookmarkEnd w:id="49"/>
      <w:proofErr w:type="spellEnd"/>
      <w:r w:rsidR="00A12A26" w:rsidRPr="00BA3E48">
        <w:t xml:space="preserve"> </w:t>
      </w:r>
    </w:p>
    <w:p w14:paraId="411295CC" w14:textId="77777777" w:rsidR="006A2AF3" w:rsidRPr="00BA3E48" w:rsidRDefault="006A2AF3" w:rsidP="006A2AF3"/>
    <w:p w14:paraId="6432809A" w14:textId="77777777" w:rsidR="00997234" w:rsidRPr="00051C59" w:rsidRDefault="005E353C" w:rsidP="005E353C">
      <w:r w:rsidRPr="00051C59">
        <w:t xml:space="preserve">De </w:t>
      </w:r>
      <w:proofErr w:type="spellStart"/>
      <w:r w:rsidRPr="00051C59">
        <w:t>organizational</w:t>
      </w:r>
      <w:proofErr w:type="spellEnd"/>
      <w:r w:rsidRPr="00051C59">
        <w:t xml:space="preserve"> </w:t>
      </w:r>
      <w:proofErr w:type="spellStart"/>
      <w:r w:rsidRPr="00051C59">
        <w:t>boundary</w:t>
      </w:r>
      <w:proofErr w:type="spellEnd"/>
      <w:r w:rsidRPr="00051C59">
        <w:t xml:space="preserve"> is opgesteld volgens de eisen van </w:t>
      </w:r>
      <w:proofErr w:type="spellStart"/>
      <w:r w:rsidRPr="00051C59">
        <w:rPr>
          <w:i/>
          <w:iCs/>
        </w:rPr>
        <w:t>Greenhouse</w:t>
      </w:r>
      <w:proofErr w:type="spellEnd"/>
      <w:r w:rsidRPr="00051C59">
        <w:rPr>
          <w:i/>
          <w:iCs/>
        </w:rPr>
        <w:t xml:space="preserve"> Gas Protocol – A Corporate Accounting </w:t>
      </w:r>
      <w:proofErr w:type="spellStart"/>
      <w:r w:rsidRPr="00051C59">
        <w:rPr>
          <w:i/>
          <w:iCs/>
        </w:rPr>
        <w:t>and</w:t>
      </w:r>
      <w:proofErr w:type="spellEnd"/>
      <w:r w:rsidRPr="00051C59">
        <w:rPr>
          <w:i/>
          <w:iCs/>
        </w:rPr>
        <w:t xml:space="preserve"> Reporting Standard:2004, hoofdstuk 3</w:t>
      </w:r>
      <w:r w:rsidRPr="00051C59">
        <w:t xml:space="preserve">, zoals beschreven in </w:t>
      </w:r>
      <w:r w:rsidRPr="00051C59">
        <w:rPr>
          <w:i/>
          <w:iCs/>
        </w:rPr>
        <w:t>Handboek CO</w:t>
      </w:r>
      <w:r w:rsidRPr="00051C59">
        <w:rPr>
          <w:i/>
          <w:iCs/>
          <w:vertAlign w:val="subscript"/>
        </w:rPr>
        <w:t>2</w:t>
      </w:r>
      <w:r w:rsidRPr="00051C59">
        <w:rPr>
          <w:i/>
          <w:iCs/>
        </w:rPr>
        <w:t>-Prestatieladder 3.1, hoofdstuk 4.</w:t>
      </w:r>
      <w:r w:rsidRPr="00051C59">
        <w:t xml:space="preserve"> De control benadering is hierbij toegepast.</w:t>
      </w:r>
    </w:p>
    <w:p w14:paraId="41CE7B35" w14:textId="77777777" w:rsidR="00997234" w:rsidRPr="00051C59" w:rsidRDefault="00997234" w:rsidP="005E353C"/>
    <w:p w14:paraId="4B432135" w14:textId="1A95B9C5" w:rsidR="00997234" w:rsidRPr="00051C59" w:rsidRDefault="00051C59" w:rsidP="005E353C">
      <w:r w:rsidRPr="00051C59">
        <w:t xml:space="preserve">In 2024 zijn er geen wijzigingen geweest in de </w:t>
      </w:r>
      <w:proofErr w:type="spellStart"/>
      <w:r w:rsidRPr="00051C59">
        <w:t>organisational</w:t>
      </w:r>
      <w:proofErr w:type="spellEnd"/>
      <w:r w:rsidRPr="00051C59">
        <w:t xml:space="preserve"> </w:t>
      </w:r>
      <w:proofErr w:type="spellStart"/>
      <w:r w:rsidRPr="00051C59">
        <w:t>boundary</w:t>
      </w:r>
      <w:proofErr w:type="spellEnd"/>
      <w:r w:rsidRPr="00051C59">
        <w:t xml:space="preserve">. </w:t>
      </w:r>
    </w:p>
    <w:p w14:paraId="3A89F2CA" w14:textId="376C27E4" w:rsidR="005E353C" w:rsidRPr="00051C59" w:rsidRDefault="005E353C" w:rsidP="005E353C">
      <w:r w:rsidRPr="00051C59">
        <w:t xml:space="preserve"> </w:t>
      </w:r>
    </w:p>
    <w:p w14:paraId="593403E7" w14:textId="77777777" w:rsidR="005E353C" w:rsidRPr="00051C59" w:rsidRDefault="005E353C" w:rsidP="005E353C"/>
    <w:p w14:paraId="3B868A90" w14:textId="77777777" w:rsidR="005E353C" w:rsidRPr="00051C59" w:rsidRDefault="005E353C" w:rsidP="005E353C">
      <w:r w:rsidRPr="00051C59">
        <w:t xml:space="preserve">De </w:t>
      </w:r>
      <w:proofErr w:type="spellStart"/>
      <w:r w:rsidRPr="00051C59">
        <w:t>organizational</w:t>
      </w:r>
      <w:proofErr w:type="spellEnd"/>
      <w:r w:rsidRPr="00051C59">
        <w:t xml:space="preserve"> </w:t>
      </w:r>
      <w:proofErr w:type="spellStart"/>
      <w:r w:rsidRPr="00051C59">
        <w:t>boundary</w:t>
      </w:r>
      <w:proofErr w:type="spellEnd"/>
      <w:r w:rsidRPr="00051C59">
        <w:t xml:space="preserve"> zoals deze op het certificaat wordt vermeld is als volgt:</w:t>
      </w:r>
    </w:p>
    <w:p w14:paraId="42D2F534" w14:textId="77777777" w:rsidR="006B41EA" w:rsidRPr="00051C59" w:rsidRDefault="006B41EA" w:rsidP="005E353C"/>
    <w:p w14:paraId="281A1723" w14:textId="386B9574" w:rsidR="006B41EA" w:rsidRPr="00051C59" w:rsidRDefault="006B41EA" w:rsidP="31AD926C">
      <w:pPr>
        <w:pStyle w:val="Lijstalinea"/>
        <w:numPr>
          <w:ilvl w:val="0"/>
          <w:numId w:val="33"/>
        </w:numPr>
      </w:pPr>
      <w:r w:rsidRPr="00051C59">
        <w:t xml:space="preserve">Finovi Holding B.V. - De </w:t>
      </w:r>
      <w:proofErr w:type="spellStart"/>
      <w:r w:rsidRPr="00051C59">
        <w:t>Leijerweg</w:t>
      </w:r>
      <w:proofErr w:type="spellEnd"/>
      <w:r w:rsidRPr="00051C59">
        <w:t xml:space="preserve"> 6A, 5491TK Sint-Oedenrode - KvK-nummer: 75204649 – 100%</w:t>
      </w:r>
    </w:p>
    <w:p w14:paraId="0BF64FD1" w14:textId="77777777" w:rsidR="006B41EA" w:rsidRPr="00051C59" w:rsidRDefault="006B41EA" w:rsidP="006B41EA"/>
    <w:p w14:paraId="0360BDF3" w14:textId="77777777" w:rsidR="006B41EA" w:rsidRPr="00051C59" w:rsidRDefault="006B41EA" w:rsidP="00523A24">
      <w:pPr>
        <w:numPr>
          <w:ilvl w:val="0"/>
          <w:numId w:val="17"/>
        </w:numPr>
        <w:rPr>
          <w:lang w:val="nb-NO"/>
        </w:rPr>
      </w:pPr>
      <w:r w:rsidRPr="00051C59">
        <w:rPr>
          <w:lang w:val="nb-NO"/>
        </w:rPr>
        <w:t xml:space="preserve">Finovi B.V. - </w:t>
      </w:r>
      <w:r w:rsidRPr="00051C59">
        <w:t xml:space="preserve">De </w:t>
      </w:r>
      <w:proofErr w:type="spellStart"/>
      <w:r w:rsidRPr="00051C59">
        <w:t>Leijerweg</w:t>
      </w:r>
      <w:proofErr w:type="spellEnd"/>
      <w:r w:rsidRPr="00051C59">
        <w:t xml:space="preserve"> 6A, 5491TK Sint-Oedenrode -  </w:t>
      </w:r>
      <w:r w:rsidRPr="00051C59">
        <w:rPr>
          <w:lang w:val="nb-NO"/>
        </w:rPr>
        <w:t>KvK-nummer: 56877781 – 100%</w:t>
      </w:r>
    </w:p>
    <w:p w14:paraId="3163CF85" w14:textId="77777777" w:rsidR="006B41EA" w:rsidRPr="00051C59" w:rsidRDefault="006B41EA" w:rsidP="006B41EA">
      <w:pPr>
        <w:ind w:left="720"/>
        <w:rPr>
          <w:lang w:val="nb-NO"/>
        </w:rPr>
      </w:pPr>
    </w:p>
    <w:p w14:paraId="5D1CFCA7" w14:textId="77777777" w:rsidR="006B41EA" w:rsidRPr="00051C59" w:rsidRDefault="006B41EA" w:rsidP="00523A24">
      <w:pPr>
        <w:numPr>
          <w:ilvl w:val="0"/>
          <w:numId w:val="17"/>
        </w:numPr>
        <w:rPr>
          <w:lang w:val="nb-NO"/>
        </w:rPr>
      </w:pPr>
      <w:r w:rsidRPr="00051C59">
        <w:rPr>
          <w:lang w:val="nb-NO"/>
        </w:rPr>
        <w:t>Finovi Service &amp; Onderhoud - De Leijerweg 6A, 5491TK Sint-Oedenrode - KvK-nummer: 75669684 - 100%</w:t>
      </w:r>
    </w:p>
    <w:p w14:paraId="52AFCC6B" w14:textId="77777777" w:rsidR="005E353C" w:rsidRPr="00C25959" w:rsidRDefault="005E353C" w:rsidP="005E353C">
      <w:pPr>
        <w:rPr>
          <w:lang w:val="nb-NO"/>
        </w:rPr>
      </w:pPr>
    </w:p>
    <w:p w14:paraId="3D41F3D9" w14:textId="77777777" w:rsidR="005E353C" w:rsidRDefault="005E353C" w:rsidP="005E353C">
      <w:r>
        <w:t xml:space="preserve">De volledige analyse is te vinden in Bijlage A van dit document. </w:t>
      </w:r>
    </w:p>
    <w:p w14:paraId="2634908B" w14:textId="77777777" w:rsidR="005E353C" w:rsidRDefault="005E353C" w:rsidP="00214901">
      <w:pPr>
        <w:rPr>
          <w:b/>
          <w:bCs/>
          <w:color w:val="FF0000"/>
        </w:rPr>
      </w:pPr>
    </w:p>
    <w:p w14:paraId="2EA10CEA" w14:textId="77777777" w:rsidR="00F063DE" w:rsidRPr="00BA3E48" w:rsidRDefault="00F063DE" w:rsidP="00F063DE"/>
    <w:p w14:paraId="737927F9" w14:textId="77777777" w:rsidR="00F063DE" w:rsidRDefault="00F063DE" w:rsidP="005B1065">
      <w:pPr>
        <w:pStyle w:val="Kop2"/>
      </w:pPr>
      <w:bookmarkStart w:id="50" w:name="_Toc118736227"/>
      <w:bookmarkStart w:id="51" w:name="_Toc142472115"/>
      <w:r w:rsidRPr="00BA3E48">
        <w:lastRenderedPageBreak/>
        <w:t>Organisatiegrootte</w:t>
      </w:r>
      <w:bookmarkEnd w:id="50"/>
      <w:bookmarkEnd w:id="51"/>
    </w:p>
    <w:p w14:paraId="09FF79CA" w14:textId="77777777" w:rsidR="00596512" w:rsidRDefault="00596512" w:rsidP="005B1065">
      <w:pPr>
        <w:pStyle w:val="Kop3"/>
      </w:pPr>
      <w:bookmarkStart w:id="52" w:name="_Toc118736228"/>
      <w:bookmarkStart w:id="53" w:name="_Toc142472116"/>
      <w:r w:rsidRPr="00BA3E48">
        <w:t>Groottebepaling</w:t>
      </w:r>
      <w:bookmarkEnd w:id="52"/>
      <w:bookmarkEnd w:id="53"/>
    </w:p>
    <w:p w14:paraId="28EFF773" w14:textId="58F459FD" w:rsidR="006419DB" w:rsidRPr="00663441" w:rsidRDefault="00424F91" w:rsidP="00982546">
      <w:pPr>
        <w:rPr>
          <w:color w:val="000000" w:themeColor="text1"/>
        </w:rPr>
      </w:pPr>
      <w:r>
        <w:t xml:space="preserve">De </w:t>
      </w:r>
      <w:r w:rsidRPr="006C3145">
        <w:t>CO</w:t>
      </w:r>
      <w:r w:rsidRPr="006C3145">
        <w:rPr>
          <w:vertAlign w:val="subscript"/>
        </w:rPr>
        <w:t>2</w:t>
      </w:r>
      <w:r>
        <w:t>-Prestatieladder onderscheidt kleine</w:t>
      </w:r>
      <w:r w:rsidR="00B84BE0">
        <w:t xml:space="preserve">, middelgrote en grote organisaties op basis van </w:t>
      </w:r>
      <w:r w:rsidR="00B84BE0" w:rsidRPr="006C3145">
        <w:t>CO</w:t>
      </w:r>
      <w:r w:rsidR="00B84BE0" w:rsidRPr="006C3145">
        <w:rPr>
          <w:vertAlign w:val="subscript"/>
        </w:rPr>
        <w:t>2</w:t>
      </w:r>
      <w:r w:rsidR="00B84BE0">
        <w:t>-uitstoot</w:t>
      </w:r>
      <w:r w:rsidR="00C24C3E">
        <w:t xml:space="preserve"> binnen de vastgestelde </w:t>
      </w:r>
      <w:proofErr w:type="spellStart"/>
      <w:r w:rsidR="00C24C3E">
        <w:t>organizational</w:t>
      </w:r>
      <w:proofErr w:type="spellEnd"/>
      <w:r w:rsidR="00C24C3E">
        <w:t xml:space="preserve"> </w:t>
      </w:r>
      <w:proofErr w:type="spellStart"/>
      <w:r w:rsidR="00C24C3E">
        <w:t>boundary</w:t>
      </w:r>
      <w:proofErr w:type="spellEnd"/>
      <w:r w:rsidR="00B84BE0">
        <w:t xml:space="preserve">. </w:t>
      </w:r>
      <w:r w:rsidR="00D209B6">
        <w:t xml:space="preserve">Dit wordt gedaan volgens onderstaande tabel. </w:t>
      </w:r>
      <w:r w:rsidR="009D4AF7">
        <w:t xml:space="preserve">Hierbij wordt vastgesteld </w:t>
      </w:r>
      <w:r w:rsidR="00663441">
        <w:t>of de organisatie behoort tot de categorie “diensten” of tot de categorie “werken/leveringen</w:t>
      </w:r>
      <w:r w:rsidR="00F26F7A">
        <w:t>” (</w:t>
      </w:r>
      <w:proofErr w:type="gramStart"/>
      <w:r w:rsidR="00F26F7A">
        <w:t>conform</w:t>
      </w:r>
      <w:proofErr w:type="gramEnd"/>
      <w:r w:rsidR="00F26F7A">
        <w:t xml:space="preserve"> Richtlijn 2014/24/E</w:t>
      </w:r>
      <w:r w:rsidR="00F26F7A" w:rsidRPr="00A316F8">
        <w:t>U)</w:t>
      </w:r>
      <w:r w:rsidR="00AD08B3" w:rsidRPr="00A316F8">
        <w:t xml:space="preserve">. </w:t>
      </w:r>
      <w:r w:rsidR="007979D5">
        <w:t>Finovi B.V.</w:t>
      </w:r>
      <w:r w:rsidR="00663441" w:rsidRPr="00A316F8">
        <w:t xml:space="preserve"> behoort </w:t>
      </w:r>
      <w:r w:rsidR="00663441">
        <w:t>tot de categorie</w:t>
      </w:r>
      <w:r w:rsidR="00BD7D9D">
        <w:t xml:space="preserve"> diensten &amp;</w:t>
      </w:r>
      <w:r w:rsidR="00A316F8">
        <w:t xml:space="preserve"> leveringen. </w:t>
      </w:r>
    </w:p>
    <w:p w14:paraId="18F4D20B" w14:textId="77777777" w:rsidR="00045CD5" w:rsidRDefault="00045CD5" w:rsidP="00F46F19"/>
    <w:tbl>
      <w:tblPr>
        <w:tblStyle w:val="Tabelraste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940"/>
        <w:gridCol w:w="2693"/>
        <w:gridCol w:w="4349"/>
      </w:tblGrid>
      <w:tr w:rsidR="00045CD5" w:rsidRPr="0006634C" w14:paraId="30D244B5" w14:textId="77777777" w:rsidTr="009D4AF7">
        <w:tc>
          <w:tcPr>
            <w:tcW w:w="1080" w:type="pct"/>
            <w:tcBorders>
              <w:top w:val="single" w:sz="36" w:space="0" w:color="FFFFFF" w:themeColor="background1"/>
              <w:left w:val="single" w:sz="36" w:space="0" w:color="FFFFFF" w:themeColor="background1"/>
              <w:bottom w:val="single" w:sz="36" w:space="0" w:color="FFFFFF" w:themeColor="background1"/>
            </w:tcBorders>
            <w:shd w:val="clear" w:color="auto" w:fill="6ABE93"/>
          </w:tcPr>
          <w:p w14:paraId="032AAC9E" w14:textId="77777777" w:rsidR="00045CD5" w:rsidRPr="00F37C18" w:rsidRDefault="00045CD5" w:rsidP="0065303F">
            <w:pPr>
              <w:jc w:val="center"/>
              <w:rPr>
                <w:b/>
                <w:caps/>
                <w:szCs w:val="20"/>
              </w:rPr>
            </w:pPr>
          </w:p>
        </w:tc>
        <w:tc>
          <w:tcPr>
            <w:tcW w:w="1499" w:type="pct"/>
            <w:tcBorders>
              <w:top w:val="single" w:sz="36" w:space="0" w:color="FFFFFF" w:themeColor="background1"/>
              <w:bottom w:val="single" w:sz="36" w:space="0" w:color="FFFFFF" w:themeColor="background1"/>
            </w:tcBorders>
            <w:shd w:val="clear" w:color="auto" w:fill="6ABE93"/>
          </w:tcPr>
          <w:p w14:paraId="172CDADB" w14:textId="77777777" w:rsidR="00045CD5" w:rsidRPr="00F37C18" w:rsidRDefault="00045CD5" w:rsidP="0065303F">
            <w:pPr>
              <w:jc w:val="center"/>
              <w:rPr>
                <w:b/>
                <w:caps/>
                <w:szCs w:val="20"/>
              </w:rPr>
            </w:pPr>
            <w:r w:rsidRPr="00F37C18">
              <w:rPr>
                <w:b/>
                <w:caps/>
                <w:szCs w:val="20"/>
              </w:rPr>
              <w:t>Diensten</w:t>
            </w:r>
          </w:p>
        </w:tc>
        <w:tc>
          <w:tcPr>
            <w:tcW w:w="2421" w:type="pct"/>
            <w:tcBorders>
              <w:top w:val="single" w:sz="36" w:space="0" w:color="FFFFFF" w:themeColor="background1"/>
              <w:bottom w:val="single" w:sz="36" w:space="0" w:color="FFFFFF" w:themeColor="background1"/>
              <w:right w:val="single" w:sz="36" w:space="0" w:color="FFFFFF" w:themeColor="background1"/>
            </w:tcBorders>
            <w:shd w:val="clear" w:color="auto" w:fill="6ABE93"/>
          </w:tcPr>
          <w:p w14:paraId="2ED4B28B" w14:textId="77777777" w:rsidR="00045CD5" w:rsidRPr="00F37C18" w:rsidRDefault="00045CD5" w:rsidP="0065303F">
            <w:pPr>
              <w:jc w:val="center"/>
              <w:rPr>
                <w:b/>
                <w:caps/>
                <w:szCs w:val="20"/>
              </w:rPr>
            </w:pPr>
            <w:r w:rsidRPr="00F37C18">
              <w:rPr>
                <w:b/>
                <w:caps/>
                <w:szCs w:val="20"/>
              </w:rPr>
              <w:t>Werken/leveringen</w:t>
            </w:r>
          </w:p>
        </w:tc>
      </w:tr>
      <w:tr w:rsidR="00045CD5" w:rsidRPr="00AD4F9C" w14:paraId="1ABC9C3C" w14:textId="77777777" w:rsidTr="009D4AF7">
        <w:tc>
          <w:tcPr>
            <w:tcW w:w="1080" w:type="pct"/>
            <w:tcBorders>
              <w:top w:val="single" w:sz="36" w:space="0" w:color="FFFFFF" w:themeColor="background1"/>
            </w:tcBorders>
            <w:shd w:val="clear" w:color="auto" w:fill="F2F2F2" w:themeFill="background1" w:themeFillShade="F2"/>
          </w:tcPr>
          <w:p w14:paraId="0DA28ECD" w14:textId="77777777" w:rsidR="00045CD5" w:rsidRPr="00F37C18" w:rsidRDefault="00045CD5" w:rsidP="0065303F">
            <w:pPr>
              <w:rPr>
                <w:b/>
                <w:bCs/>
                <w:sz w:val="18"/>
                <w:szCs w:val="18"/>
              </w:rPr>
            </w:pPr>
            <w:r w:rsidRPr="00F37C18">
              <w:rPr>
                <w:b/>
                <w:bCs/>
                <w:sz w:val="18"/>
                <w:szCs w:val="18"/>
              </w:rPr>
              <w:t>Kleine organisatie</w:t>
            </w:r>
            <w:r w:rsidR="0025798F">
              <w:rPr>
                <w:b/>
                <w:bCs/>
                <w:sz w:val="18"/>
                <w:szCs w:val="18"/>
              </w:rPr>
              <w:t xml:space="preserve"> (K)</w:t>
            </w:r>
          </w:p>
        </w:tc>
        <w:tc>
          <w:tcPr>
            <w:tcW w:w="1499" w:type="pct"/>
            <w:tcBorders>
              <w:top w:val="single" w:sz="36" w:space="0" w:color="FFFFFF" w:themeColor="background1"/>
            </w:tcBorders>
            <w:shd w:val="clear" w:color="auto" w:fill="F2F2F2" w:themeFill="background1" w:themeFillShade="F2"/>
          </w:tcPr>
          <w:p w14:paraId="304D070B" w14:textId="77777777" w:rsidR="00045CD5" w:rsidRPr="00194893" w:rsidRDefault="00045CD5" w:rsidP="0014503E">
            <w:pPr>
              <w:jc w:val="left"/>
              <w:rPr>
                <w:sz w:val="18"/>
                <w:szCs w:val="18"/>
              </w:rPr>
            </w:pPr>
            <w:r w:rsidRPr="00194893">
              <w:rPr>
                <w:sz w:val="18"/>
                <w:szCs w:val="18"/>
              </w:rPr>
              <w:t>Totale CO</w:t>
            </w:r>
            <w:r w:rsidRPr="00194893">
              <w:rPr>
                <w:sz w:val="18"/>
                <w:szCs w:val="18"/>
                <w:vertAlign w:val="subscript"/>
              </w:rPr>
              <w:t>2</w:t>
            </w:r>
            <w:r w:rsidRPr="00194893">
              <w:rPr>
                <w:sz w:val="18"/>
                <w:szCs w:val="18"/>
              </w:rPr>
              <w:t>-uitstoot bedraagt maximaal (≤) 500 ton per jaar.</w:t>
            </w:r>
          </w:p>
        </w:tc>
        <w:tc>
          <w:tcPr>
            <w:tcW w:w="2421" w:type="pct"/>
            <w:tcBorders>
              <w:top w:val="single" w:sz="36" w:space="0" w:color="FFFFFF" w:themeColor="background1"/>
            </w:tcBorders>
            <w:shd w:val="clear" w:color="auto" w:fill="F2F2F2" w:themeFill="background1" w:themeFillShade="F2"/>
          </w:tcPr>
          <w:p w14:paraId="16141028" w14:textId="77777777" w:rsidR="00045CD5" w:rsidRPr="00194893" w:rsidRDefault="00045CD5" w:rsidP="0014503E">
            <w:pPr>
              <w:jc w:val="left"/>
              <w:rPr>
                <w:sz w:val="18"/>
                <w:szCs w:val="18"/>
              </w:rPr>
            </w:pPr>
            <w:r w:rsidRPr="00194893">
              <w:rPr>
                <w:sz w:val="18"/>
                <w:szCs w:val="18"/>
              </w:rPr>
              <w:t>Totale CO</w:t>
            </w:r>
            <w:r w:rsidRPr="00194893">
              <w:rPr>
                <w:sz w:val="18"/>
                <w:szCs w:val="18"/>
                <w:vertAlign w:val="subscript"/>
              </w:rPr>
              <w:t>2</w:t>
            </w:r>
            <w:r w:rsidRPr="00194893">
              <w:rPr>
                <w:sz w:val="18"/>
                <w:szCs w:val="18"/>
              </w:rPr>
              <w:t xml:space="preserve">-uitstoot </w:t>
            </w:r>
            <w:r w:rsidRPr="008C3E6A">
              <w:rPr>
                <w:i/>
                <w:iCs/>
                <w:sz w:val="18"/>
                <w:szCs w:val="18"/>
              </w:rPr>
              <w:t>van de kantoren en bedrijfsruimten</w:t>
            </w:r>
            <w:r w:rsidRPr="00194893">
              <w:rPr>
                <w:sz w:val="18"/>
                <w:szCs w:val="18"/>
              </w:rPr>
              <w:t xml:space="preserve"> bedraagt maximaal (≤) 500 ton per jaar, </w:t>
            </w:r>
            <w:r w:rsidRPr="00B4405E">
              <w:rPr>
                <w:b/>
                <w:bCs/>
                <w:sz w:val="18"/>
                <w:szCs w:val="18"/>
                <w:u w:val="single"/>
              </w:rPr>
              <w:t>en</w:t>
            </w:r>
            <w:r w:rsidRPr="00194893">
              <w:rPr>
                <w:sz w:val="18"/>
                <w:szCs w:val="18"/>
              </w:rPr>
              <w:t xml:space="preserve"> de totale CO</w:t>
            </w:r>
            <w:r w:rsidRPr="00194893">
              <w:rPr>
                <w:sz w:val="18"/>
                <w:szCs w:val="18"/>
                <w:vertAlign w:val="subscript"/>
              </w:rPr>
              <w:t>2</w:t>
            </w:r>
            <w:r w:rsidRPr="00194893">
              <w:rPr>
                <w:sz w:val="18"/>
                <w:szCs w:val="18"/>
              </w:rPr>
              <w:t xml:space="preserve">-uitstoot </w:t>
            </w:r>
            <w:r w:rsidRPr="008C3E6A">
              <w:rPr>
                <w:i/>
                <w:iCs/>
                <w:sz w:val="18"/>
                <w:szCs w:val="18"/>
              </w:rPr>
              <w:t>van</w:t>
            </w:r>
            <w:r w:rsidRPr="00194893">
              <w:rPr>
                <w:sz w:val="18"/>
                <w:szCs w:val="18"/>
              </w:rPr>
              <w:t xml:space="preserve"> </w:t>
            </w:r>
            <w:r w:rsidRPr="008C3E6A">
              <w:rPr>
                <w:i/>
                <w:iCs/>
                <w:sz w:val="18"/>
                <w:szCs w:val="18"/>
              </w:rPr>
              <w:t>alle bouwplaatsen en productielocaties</w:t>
            </w:r>
            <w:r w:rsidRPr="00194893">
              <w:rPr>
                <w:sz w:val="18"/>
                <w:szCs w:val="18"/>
              </w:rPr>
              <w:t xml:space="preserve"> bedraagt maximaal (≤) 2.000 ton per jaar.</w:t>
            </w:r>
          </w:p>
        </w:tc>
      </w:tr>
      <w:tr w:rsidR="00045CD5" w:rsidRPr="00AD4F9C" w14:paraId="4DAFB37B" w14:textId="77777777" w:rsidTr="009D4AF7">
        <w:tc>
          <w:tcPr>
            <w:tcW w:w="1080" w:type="pct"/>
            <w:shd w:val="clear" w:color="auto" w:fill="F2F2F2" w:themeFill="background1" w:themeFillShade="F2"/>
          </w:tcPr>
          <w:p w14:paraId="50C26B22" w14:textId="77777777" w:rsidR="00045CD5" w:rsidRPr="00F37C18" w:rsidRDefault="00045CD5" w:rsidP="0065303F">
            <w:pPr>
              <w:rPr>
                <w:b/>
                <w:bCs/>
                <w:sz w:val="18"/>
                <w:szCs w:val="18"/>
              </w:rPr>
            </w:pPr>
            <w:r w:rsidRPr="00F37C18">
              <w:rPr>
                <w:b/>
                <w:bCs/>
                <w:sz w:val="18"/>
                <w:szCs w:val="18"/>
              </w:rPr>
              <w:t>Middelgrote organisatie</w:t>
            </w:r>
            <w:r w:rsidR="0025798F">
              <w:rPr>
                <w:b/>
                <w:bCs/>
                <w:sz w:val="18"/>
                <w:szCs w:val="18"/>
              </w:rPr>
              <w:t xml:space="preserve"> (M)</w:t>
            </w:r>
          </w:p>
        </w:tc>
        <w:tc>
          <w:tcPr>
            <w:tcW w:w="1499" w:type="pct"/>
            <w:shd w:val="clear" w:color="auto" w:fill="F2F2F2" w:themeFill="background1" w:themeFillShade="F2"/>
          </w:tcPr>
          <w:p w14:paraId="4D94E02D" w14:textId="77777777" w:rsidR="00045CD5" w:rsidRPr="00194893" w:rsidRDefault="00045CD5" w:rsidP="0014503E">
            <w:pPr>
              <w:jc w:val="left"/>
              <w:rPr>
                <w:sz w:val="18"/>
                <w:szCs w:val="18"/>
              </w:rPr>
            </w:pPr>
            <w:r w:rsidRPr="00194893">
              <w:rPr>
                <w:sz w:val="18"/>
                <w:szCs w:val="18"/>
              </w:rPr>
              <w:t>Totale CO</w:t>
            </w:r>
            <w:r w:rsidRPr="00194893">
              <w:rPr>
                <w:sz w:val="18"/>
                <w:szCs w:val="18"/>
                <w:vertAlign w:val="subscript"/>
              </w:rPr>
              <w:t>2</w:t>
            </w:r>
            <w:r w:rsidRPr="00194893">
              <w:rPr>
                <w:sz w:val="18"/>
                <w:szCs w:val="18"/>
              </w:rPr>
              <w:t>-uitstoot bedraagt maximaal (≤) 2.500 ton per jaar.</w:t>
            </w:r>
          </w:p>
        </w:tc>
        <w:tc>
          <w:tcPr>
            <w:tcW w:w="2421" w:type="pct"/>
            <w:shd w:val="clear" w:color="auto" w:fill="F2F2F2" w:themeFill="background1" w:themeFillShade="F2"/>
          </w:tcPr>
          <w:p w14:paraId="6368FC9B" w14:textId="77777777" w:rsidR="00045CD5" w:rsidRPr="00194893" w:rsidRDefault="00045CD5" w:rsidP="0014503E">
            <w:pPr>
              <w:jc w:val="left"/>
              <w:rPr>
                <w:sz w:val="18"/>
                <w:szCs w:val="18"/>
              </w:rPr>
            </w:pPr>
            <w:r w:rsidRPr="00194893">
              <w:rPr>
                <w:sz w:val="18"/>
                <w:szCs w:val="18"/>
              </w:rPr>
              <w:t>Totale CO</w:t>
            </w:r>
            <w:r w:rsidRPr="00194893">
              <w:rPr>
                <w:sz w:val="18"/>
                <w:szCs w:val="18"/>
                <w:vertAlign w:val="subscript"/>
              </w:rPr>
              <w:t>2</w:t>
            </w:r>
            <w:r w:rsidRPr="00194893">
              <w:rPr>
                <w:sz w:val="18"/>
                <w:szCs w:val="18"/>
              </w:rPr>
              <w:t xml:space="preserve">-uitstoot </w:t>
            </w:r>
            <w:r w:rsidRPr="008C3E6A">
              <w:rPr>
                <w:i/>
                <w:iCs/>
                <w:sz w:val="18"/>
                <w:szCs w:val="18"/>
              </w:rPr>
              <w:t>van de kantoren en bedrijfsruimten</w:t>
            </w:r>
            <w:r w:rsidRPr="00194893">
              <w:rPr>
                <w:sz w:val="18"/>
                <w:szCs w:val="18"/>
              </w:rPr>
              <w:t xml:space="preserve"> bedraagt maximaal (≤) 2.500 ton per jaar, </w:t>
            </w:r>
            <w:r w:rsidRPr="00B4405E">
              <w:rPr>
                <w:b/>
                <w:bCs/>
                <w:sz w:val="18"/>
                <w:szCs w:val="18"/>
                <w:u w:val="single"/>
              </w:rPr>
              <w:t>en</w:t>
            </w:r>
            <w:r w:rsidRPr="00194893">
              <w:rPr>
                <w:sz w:val="18"/>
                <w:szCs w:val="18"/>
              </w:rPr>
              <w:t xml:space="preserve"> de totale CO</w:t>
            </w:r>
            <w:r w:rsidRPr="00194893">
              <w:rPr>
                <w:sz w:val="18"/>
                <w:szCs w:val="18"/>
                <w:vertAlign w:val="subscript"/>
              </w:rPr>
              <w:t>2</w:t>
            </w:r>
            <w:r w:rsidRPr="00194893">
              <w:rPr>
                <w:sz w:val="18"/>
                <w:szCs w:val="18"/>
              </w:rPr>
              <w:t xml:space="preserve">-uitstoot </w:t>
            </w:r>
            <w:r w:rsidRPr="008C3E6A">
              <w:rPr>
                <w:i/>
                <w:iCs/>
                <w:sz w:val="18"/>
                <w:szCs w:val="18"/>
              </w:rPr>
              <w:t>van</w:t>
            </w:r>
            <w:r w:rsidRPr="00194893">
              <w:rPr>
                <w:sz w:val="18"/>
                <w:szCs w:val="18"/>
              </w:rPr>
              <w:t xml:space="preserve"> </w:t>
            </w:r>
            <w:r w:rsidRPr="008C3E6A">
              <w:rPr>
                <w:i/>
                <w:iCs/>
                <w:sz w:val="18"/>
                <w:szCs w:val="18"/>
              </w:rPr>
              <w:t>alle bouwplaatsen en productielocaties</w:t>
            </w:r>
            <w:r w:rsidRPr="00194893">
              <w:rPr>
                <w:sz w:val="18"/>
                <w:szCs w:val="18"/>
              </w:rPr>
              <w:t xml:space="preserve"> bedraagt maximaal (≤) 10.000 ton per jaar.</w:t>
            </w:r>
          </w:p>
        </w:tc>
      </w:tr>
      <w:tr w:rsidR="00045CD5" w:rsidRPr="00AD4F9C" w14:paraId="0BFE64ED" w14:textId="77777777" w:rsidTr="009D4AF7">
        <w:tc>
          <w:tcPr>
            <w:tcW w:w="1080" w:type="pct"/>
            <w:shd w:val="clear" w:color="auto" w:fill="F2F2F2" w:themeFill="background1" w:themeFillShade="F2"/>
          </w:tcPr>
          <w:p w14:paraId="6885421C" w14:textId="77777777" w:rsidR="00045CD5" w:rsidRPr="00F37C18" w:rsidRDefault="00045CD5" w:rsidP="0065303F">
            <w:pPr>
              <w:rPr>
                <w:b/>
                <w:bCs/>
                <w:sz w:val="18"/>
                <w:szCs w:val="18"/>
              </w:rPr>
            </w:pPr>
            <w:r w:rsidRPr="00F37C18">
              <w:rPr>
                <w:b/>
                <w:bCs/>
                <w:sz w:val="18"/>
                <w:szCs w:val="18"/>
              </w:rPr>
              <w:t>Grote organisatie</w:t>
            </w:r>
            <w:r w:rsidR="0025798F">
              <w:rPr>
                <w:b/>
                <w:bCs/>
                <w:sz w:val="18"/>
                <w:szCs w:val="18"/>
              </w:rPr>
              <w:t xml:space="preserve"> (G)</w:t>
            </w:r>
          </w:p>
        </w:tc>
        <w:tc>
          <w:tcPr>
            <w:tcW w:w="1499" w:type="pct"/>
            <w:shd w:val="clear" w:color="auto" w:fill="F2F2F2" w:themeFill="background1" w:themeFillShade="F2"/>
          </w:tcPr>
          <w:p w14:paraId="5B461080" w14:textId="77777777" w:rsidR="00045CD5" w:rsidRPr="00194893" w:rsidRDefault="00045CD5" w:rsidP="0014503E">
            <w:pPr>
              <w:jc w:val="left"/>
              <w:rPr>
                <w:sz w:val="18"/>
                <w:szCs w:val="18"/>
              </w:rPr>
            </w:pPr>
            <w:r w:rsidRPr="00194893">
              <w:rPr>
                <w:sz w:val="18"/>
                <w:szCs w:val="18"/>
              </w:rPr>
              <w:t>Totale CO</w:t>
            </w:r>
            <w:r w:rsidRPr="00194893">
              <w:rPr>
                <w:sz w:val="18"/>
                <w:szCs w:val="18"/>
                <w:vertAlign w:val="subscript"/>
              </w:rPr>
              <w:t>2</w:t>
            </w:r>
            <w:r w:rsidRPr="00194893">
              <w:rPr>
                <w:sz w:val="18"/>
                <w:szCs w:val="18"/>
              </w:rPr>
              <w:t>-uitstoot bedraagt meer dan (&gt;) 2.500 ton per jaar.</w:t>
            </w:r>
          </w:p>
        </w:tc>
        <w:tc>
          <w:tcPr>
            <w:tcW w:w="2421" w:type="pct"/>
            <w:shd w:val="clear" w:color="auto" w:fill="F2F2F2" w:themeFill="background1" w:themeFillShade="F2"/>
          </w:tcPr>
          <w:p w14:paraId="29F3E0A8" w14:textId="77777777" w:rsidR="00045CD5" w:rsidRPr="00194893" w:rsidRDefault="00B4405E" w:rsidP="0014503E">
            <w:pPr>
              <w:keepNext/>
              <w:jc w:val="left"/>
              <w:rPr>
                <w:sz w:val="18"/>
                <w:szCs w:val="18"/>
              </w:rPr>
            </w:pPr>
            <w:r>
              <w:rPr>
                <w:sz w:val="18"/>
                <w:szCs w:val="18"/>
              </w:rPr>
              <w:t>Overig</w:t>
            </w:r>
          </w:p>
        </w:tc>
      </w:tr>
    </w:tbl>
    <w:p w14:paraId="39728E0C" w14:textId="77777777" w:rsidR="00045CD5" w:rsidRPr="00F46F19" w:rsidRDefault="00045CD5" w:rsidP="00F46F19"/>
    <w:p w14:paraId="7AC033CE" w14:textId="5697AEBF" w:rsidR="00F063DE" w:rsidRDefault="005401DA" w:rsidP="00982546">
      <w:r>
        <w:t xml:space="preserve">De </w:t>
      </w:r>
      <w:r w:rsidRPr="006C3145">
        <w:t>CO</w:t>
      </w:r>
      <w:r w:rsidRPr="006C3145">
        <w:rPr>
          <w:vertAlign w:val="subscript"/>
        </w:rPr>
        <w:t>2</w:t>
      </w:r>
      <w:r>
        <w:t xml:space="preserve">-uitstoot is te vinden in de </w:t>
      </w:r>
      <w:r w:rsidRPr="006C3145">
        <w:t>CO</w:t>
      </w:r>
      <w:r w:rsidRPr="006C3145">
        <w:rPr>
          <w:vertAlign w:val="subscript"/>
        </w:rPr>
        <w:t>2</w:t>
      </w:r>
      <w:r>
        <w:t xml:space="preserve">-emissie-inventaris rapportage in het document </w:t>
      </w:r>
      <w:r w:rsidR="005E67E4">
        <w:t>“</w:t>
      </w:r>
      <w:r w:rsidR="005E67E4" w:rsidRPr="006C3145">
        <w:t>CO</w:t>
      </w:r>
      <w:r w:rsidR="005E67E4" w:rsidRPr="006C3145">
        <w:rPr>
          <w:vertAlign w:val="subscript"/>
        </w:rPr>
        <w:t>2</w:t>
      </w:r>
      <w:r w:rsidR="005E67E4">
        <w:t>-</w:t>
      </w:r>
      <w:r w:rsidR="00C97DD8">
        <w:t>d</w:t>
      </w:r>
      <w:r w:rsidR="005E67E4">
        <w:t>ashboard”</w:t>
      </w:r>
      <w:r w:rsidR="00C93F49">
        <w:t>. Met deze uitstoot valt de organisatie in de categori</w:t>
      </w:r>
      <w:r w:rsidR="00A316F8">
        <w:t xml:space="preserve">e </w:t>
      </w:r>
      <w:r w:rsidR="00A316F8" w:rsidRPr="0585694F">
        <w:rPr>
          <w:i/>
          <w:iCs/>
        </w:rPr>
        <w:t>klei</w:t>
      </w:r>
      <w:r w:rsidR="4DB23959" w:rsidRPr="0585694F">
        <w:rPr>
          <w:i/>
          <w:iCs/>
        </w:rPr>
        <w:t>ne organisatie</w:t>
      </w:r>
      <w:r w:rsidR="00A316F8">
        <w:t xml:space="preserve">. </w:t>
      </w:r>
    </w:p>
    <w:p w14:paraId="3A9050AF" w14:textId="1C9826F5" w:rsidR="00086C68" w:rsidRPr="00BA3E48" w:rsidRDefault="00086C68" w:rsidP="00086C68"/>
    <w:p w14:paraId="22D7EC76" w14:textId="07CF5D95" w:rsidR="00320E73" w:rsidRPr="00640A6E" w:rsidRDefault="00086C68" w:rsidP="00640A6E">
      <w:pPr>
        <w:pStyle w:val="Kop3"/>
      </w:pPr>
      <w:bookmarkStart w:id="54" w:name="_Toc118736229"/>
      <w:bookmarkStart w:id="55" w:name="_Toc142472117"/>
      <w:r w:rsidRPr="00BA3E48">
        <w:t>V</w:t>
      </w:r>
      <w:r w:rsidR="009C3745">
        <w:t>rijstelling van</w:t>
      </w:r>
      <w:r w:rsidRPr="00BA3E48">
        <w:t xml:space="preserve"> normeisen</w:t>
      </w:r>
      <w:bookmarkEnd w:id="54"/>
      <w:bookmarkEnd w:id="55"/>
      <w:r w:rsidRPr="00BA3E48">
        <w:t xml:space="preserve"> </w:t>
      </w:r>
    </w:p>
    <w:p w14:paraId="5097357F" w14:textId="77777777" w:rsidR="00320E73" w:rsidRDefault="00320E73" w:rsidP="00320E73">
      <w:r>
        <w:t>Door de vastgestelde groottecategorie krijgt de organisatie vrijstelling van de volgende normeisen:</w:t>
      </w:r>
    </w:p>
    <w:p w14:paraId="53EC1FAE" w14:textId="77777777" w:rsidR="00320E73" w:rsidRDefault="00320E73" w:rsidP="00320E73"/>
    <w:p w14:paraId="4ECA6E90" w14:textId="77777777" w:rsidR="00320E73" w:rsidRDefault="00320E73" w:rsidP="00320E73">
      <w:r>
        <w:t>5.A.2-2, 5.A.3, 4.C, 5.C, 4.D en 5D. Voor eis 4.A.1 hoeft de organisatie één ketenanalyse op te stellen.</w:t>
      </w:r>
    </w:p>
    <w:p w14:paraId="47006EA4" w14:textId="77777777" w:rsidR="00F63A7F" w:rsidRPr="00BA3E48" w:rsidRDefault="00F63A7F" w:rsidP="009261CE"/>
    <w:p w14:paraId="76A16BBB" w14:textId="77777777" w:rsidR="00113E7A" w:rsidRDefault="00113E7A" w:rsidP="005B1065">
      <w:pPr>
        <w:pStyle w:val="Kop2"/>
      </w:pPr>
      <w:bookmarkStart w:id="56" w:name="_Projecten_met_gunningvoordeel_1"/>
      <w:bookmarkStart w:id="57" w:name="_Toc118736230"/>
      <w:bookmarkStart w:id="58" w:name="_Toc142472118"/>
      <w:bookmarkEnd w:id="56"/>
      <w:r>
        <w:t>Projecten met gunningvoordeel</w:t>
      </w:r>
      <w:bookmarkEnd w:id="57"/>
      <w:bookmarkEnd w:id="58"/>
    </w:p>
    <w:p w14:paraId="29AEE331" w14:textId="77777777" w:rsidR="00CA1451" w:rsidRDefault="00CA1451" w:rsidP="00F325DF">
      <w:r>
        <w:t xml:space="preserve">Een project met gunningvoordeel is een project van een organisatie waarbij de </w:t>
      </w:r>
      <w:r w:rsidRPr="00A57310">
        <w:rPr>
          <w:rFonts w:cs="Calibri"/>
          <w:szCs w:val="20"/>
          <w:lang w:eastAsia="nl-NL"/>
        </w:rPr>
        <w:t>CO</w:t>
      </w:r>
      <w:r w:rsidRPr="00A57310">
        <w:rPr>
          <w:rFonts w:cs="Calibri"/>
          <w:szCs w:val="20"/>
          <w:vertAlign w:val="subscript"/>
          <w:lang w:eastAsia="nl-NL"/>
        </w:rPr>
        <w:t>2</w:t>
      </w:r>
      <w:r>
        <w:t xml:space="preserve">-Prestatieladder een rol heeft gespeeld in de aanbesteding. Hierbij is het niet relevant of het gunningvoordeel wel of niet doorslaggevend is geweest bij het verkrijgen van de opdracht, of op welke manier de </w:t>
      </w:r>
      <w:r w:rsidRPr="00A57310">
        <w:rPr>
          <w:rFonts w:cs="Calibri"/>
          <w:szCs w:val="20"/>
          <w:lang w:eastAsia="nl-NL"/>
        </w:rPr>
        <w:t>CO</w:t>
      </w:r>
      <w:r w:rsidRPr="00A57310">
        <w:rPr>
          <w:rFonts w:cs="Calibri"/>
          <w:szCs w:val="20"/>
          <w:vertAlign w:val="subscript"/>
          <w:lang w:eastAsia="nl-NL"/>
        </w:rPr>
        <w:t>2</w:t>
      </w:r>
      <w:r>
        <w:t>-Prestatieladder in de aanbesteding is gevraagd.</w:t>
      </w:r>
    </w:p>
    <w:p w14:paraId="354E84D3" w14:textId="1AEDAA96" w:rsidR="00CA1451" w:rsidRDefault="00CA1451" w:rsidP="00CA1451">
      <w:pPr>
        <w:spacing w:line="276" w:lineRule="auto"/>
        <w:rPr>
          <w:color w:val="5B9BD5" w:themeColor="accent5"/>
        </w:rPr>
      </w:pPr>
    </w:p>
    <w:p w14:paraId="38FEC844" w14:textId="603B2118" w:rsidR="00CA1451" w:rsidRDefault="00CA1451" w:rsidP="000A0B74">
      <w:pPr>
        <w:spacing w:line="259" w:lineRule="auto"/>
      </w:pPr>
      <w:r w:rsidRPr="00540DEE">
        <w:t>Met deze definitie in het achterhoofd</w:t>
      </w:r>
      <w:r w:rsidR="00AB589C" w:rsidRPr="00540DEE">
        <w:t xml:space="preserve"> </w:t>
      </w:r>
      <w:r w:rsidR="004E5E10">
        <w:t>zijn onderstaande</w:t>
      </w:r>
      <w:r w:rsidR="00786F4E">
        <w:t xml:space="preserve"> 2</w:t>
      </w:r>
      <w:r w:rsidR="004E5E10">
        <w:t xml:space="preserve"> projecten actief </w:t>
      </w:r>
      <w:r w:rsidR="0016070F">
        <w:t>geweest in 2025:</w:t>
      </w:r>
    </w:p>
    <w:p w14:paraId="5067BD68" w14:textId="2C3BDC47" w:rsidR="00FB0323" w:rsidRPr="00786F4E" w:rsidRDefault="00FB0323" w:rsidP="00FB0323"/>
    <w:tbl>
      <w:tblPr>
        <w:tblW w:w="9624" w:type="dxa"/>
        <w:tblCellMar>
          <w:left w:w="70" w:type="dxa"/>
          <w:right w:w="70" w:type="dxa"/>
        </w:tblCellMar>
        <w:tblLook w:val="04A0" w:firstRow="1" w:lastRow="0" w:firstColumn="1" w:lastColumn="0" w:noHBand="0" w:noVBand="1"/>
      </w:tblPr>
      <w:tblGrid>
        <w:gridCol w:w="2836"/>
        <w:gridCol w:w="2136"/>
        <w:gridCol w:w="2816"/>
        <w:gridCol w:w="1836"/>
      </w:tblGrid>
      <w:tr w:rsidR="0076650D" w:rsidRPr="0076650D" w14:paraId="62C6C588" w14:textId="77777777" w:rsidTr="0076650D">
        <w:trPr>
          <w:trHeight w:val="300"/>
        </w:trPr>
        <w:tc>
          <w:tcPr>
            <w:tcW w:w="2836" w:type="dxa"/>
            <w:tcBorders>
              <w:top w:val="nil"/>
              <w:left w:val="nil"/>
              <w:bottom w:val="nil"/>
              <w:right w:val="nil"/>
            </w:tcBorders>
            <w:noWrap/>
            <w:vAlign w:val="bottom"/>
            <w:hideMark/>
          </w:tcPr>
          <w:p w14:paraId="1636D395" w14:textId="77777777" w:rsidR="0076650D" w:rsidRPr="0076650D" w:rsidRDefault="0076650D" w:rsidP="0076650D">
            <w:pPr>
              <w:jc w:val="left"/>
              <w:rPr>
                <w:rFonts w:ascii="Aptos Narrow" w:eastAsia="Times New Roman" w:hAnsi="Aptos Narrow" w:cs="Arial"/>
                <w:b/>
                <w:bCs/>
                <w:color w:val="000000"/>
                <w:sz w:val="22"/>
                <w:szCs w:val="22"/>
                <w:lang w:eastAsia="nl-NL"/>
              </w:rPr>
            </w:pPr>
            <w:r w:rsidRPr="0076650D">
              <w:rPr>
                <w:rFonts w:ascii="Aptos Narrow" w:eastAsia="Times New Roman" w:hAnsi="Aptos Narrow" w:cs="Arial"/>
                <w:b/>
                <w:bCs/>
                <w:color w:val="000000"/>
                <w:sz w:val="22"/>
                <w:szCs w:val="22"/>
                <w:lang w:eastAsia="nl-NL"/>
              </w:rPr>
              <w:t>Project</w:t>
            </w:r>
          </w:p>
        </w:tc>
        <w:tc>
          <w:tcPr>
            <w:tcW w:w="2136" w:type="dxa"/>
            <w:tcBorders>
              <w:top w:val="nil"/>
              <w:left w:val="nil"/>
              <w:bottom w:val="nil"/>
              <w:right w:val="nil"/>
            </w:tcBorders>
            <w:noWrap/>
            <w:vAlign w:val="bottom"/>
            <w:hideMark/>
          </w:tcPr>
          <w:p w14:paraId="505FABFB" w14:textId="77777777" w:rsidR="0076650D" w:rsidRPr="0076650D" w:rsidRDefault="0076650D" w:rsidP="0076650D">
            <w:pPr>
              <w:jc w:val="left"/>
              <w:rPr>
                <w:rFonts w:ascii="Aptos Narrow" w:eastAsia="Times New Roman" w:hAnsi="Aptos Narrow" w:cs="Arial"/>
                <w:b/>
                <w:bCs/>
                <w:color w:val="000000"/>
                <w:sz w:val="22"/>
                <w:szCs w:val="22"/>
                <w:lang w:eastAsia="nl-NL"/>
              </w:rPr>
            </w:pPr>
            <w:r w:rsidRPr="0076650D">
              <w:rPr>
                <w:rFonts w:ascii="Aptos Narrow" w:eastAsia="Times New Roman" w:hAnsi="Aptos Narrow" w:cs="Arial"/>
                <w:b/>
                <w:bCs/>
                <w:color w:val="000000"/>
                <w:sz w:val="22"/>
                <w:szCs w:val="22"/>
                <w:lang w:eastAsia="nl-NL"/>
              </w:rPr>
              <w:t>Stad</w:t>
            </w:r>
          </w:p>
        </w:tc>
        <w:tc>
          <w:tcPr>
            <w:tcW w:w="2816" w:type="dxa"/>
            <w:tcBorders>
              <w:top w:val="nil"/>
              <w:left w:val="nil"/>
              <w:bottom w:val="nil"/>
              <w:right w:val="nil"/>
            </w:tcBorders>
            <w:noWrap/>
            <w:vAlign w:val="bottom"/>
            <w:hideMark/>
          </w:tcPr>
          <w:p w14:paraId="0155A683" w14:textId="77777777" w:rsidR="0076650D" w:rsidRPr="0076650D" w:rsidRDefault="0076650D" w:rsidP="0076650D">
            <w:pPr>
              <w:jc w:val="left"/>
              <w:rPr>
                <w:rFonts w:ascii="Aptos Narrow" w:eastAsia="Times New Roman" w:hAnsi="Aptos Narrow" w:cs="Arial"/>
                <w:b/>
                <w:bCs/>
                <w:color w:val="000000"/>
                <w:sz w:val="22"/>
                <w:szCs w:val="22"/>
                <w:lang w:eastAsia="nl-NL"/>
              </w:rPr>
            </w:pPr>
            <w:r w:rsidRPr="0076650D">
              <w:rPr>
                <w:rFonts w:ascii="Aptos Narrow" w:eastAsia="Times New Roman" w:hAnsi="Aptos Narrow" w:cs="Arial"/>
                <w:b/>
                <w:bCs/>
                <w:color w:val="000000"/>
                <w:sz w:val="22"/>
                <w:szCs w:val="22"/>
                <w:lang w:eastAsia="nl-NL"/>
              </w:rPr>
              <w:t>Startdatum</w:t>
            </w:r>
          </w:p>
        </w:tc>
        <w:tc>
          <w:tcPr>
            <w:tcW w:w="1836" w:type="dxa"/>
            <w:tcBorders>
              <w:top w:val="nil"/>
              <w:left w:val="nil"/>
              <w:bottom w:val="nil"/>
              <w:right w:val="nil"/>
            </w:tcBorders>
            <w:noWrap/>
            <w:vAlign w:val="bottom"/>
            <w:hideMark/>
          </w:tcPr>
          <w:p w14:paraId="4DE19966" w14:textId="77777777" w:rsidR="0076650D" w:rsidRPr="0076650D" w:rsidRDefault="0076650D" w:rsidP="0076650D">
            <w:pPr>
              <w:jc w:val="left"/>
              <w:rPr>
                <w:rFonts w:ascii="Aptos Narrow" w:eastAsia="Times New Roman" w:hAnsi="Aptos Narrow" w:cs="Arial"/>
                <w:b/>
                <w:bCs/>
                <w:color w:val="000000"/>
                <w:sz w:val="22"/>
                <w:szCs w:val="22"/>
                <w:lang w:eastAsia="nl-NL"/>
              </w:rPr>
            </w:pPr>
            <w:r w:rsidRPr="0076650D">
              <w:rPr>
                <w:rFonts w:ascii="Aptos Narrow" w:eastAsia="Times New Roman" w:hAnsi="Aptos Narrow" w:cs="Arial"/>
                <w:b/>
                <w:bCs/>
                <w:color w:val="000000"/>
                <w:sz w:val="22"/>
                <w:szCs w:val="22"/>
                <w:lang w:eastAsia="nl-NL"/>
              </w:rPr>
              <w:t>Einddatum</w:t>
            </w:r>
          </w:p>
        </w:tc>
      </w:tr>
      <w:tr w:rsidR="0076650D" w:rsidRPr="0076650D" w14:paraId="4FDAA870" w14:textId="77777777" w:rsidTr="0076650D">
        <w:trPr>
          <w:trHeight w:val="300"/>
        </w:trPr>
        <w:tc>
          <w:tcPr>
            <w:tcW w:w="2836" w:type="dxa"/>
            <w:tcBorders>
              <w:top w:val="nil"/>
              <w:left w:val="nil"/>
              <w:bottom w:val="nil"/>
              <w:right w:val="nil"/>
            </w:tcBorders>
            <w:noWrap/>
            <w:vAlign w:val="bottom"/>
            <w:hideMark/>
          </w:tcPr>
          <w:p w14:paraId="7E94D1C9" w14:textId="77777777" w:rsidR="0076650D" w:rsidRPr="0076650D" w:rsidRDefault="0076650D" w:rsidP="0076650D">
            <w:pPr>
              <w:jc w:val="left"/>
              <w:rPr>
                <w:rFonts w:ascii="Aptos Narrow" w:eastAsia="Times New Roman" w:hAnsi="Aptos Narrow" w:cs="Arial"/>
                <w:color w:val="000000"/>
                <w:sz w:val="22"/>
                <w:szCs w:val="22"/>
                <w:lang w:eastAsia="nl-NL"/>
              </w:rPr>
            </w:pPr>
            <w:r w:rsidRPr="0076650D">
              <w:rPr>
                <w:rFonts w:ascii="Aptos Narrow" w:eastAsia="Times New Roman" w:hAnsi="Aptos Narrow" w:cs="Arial"/>
                <w:color w:val="000000"/>
                <w:sz w:val="22"/>
                <w:szCs w:val="22"/>
                <w:lang w:eastAsia="nl-NL"/>
              </w:rPr>
              <w:t>Spieringshoorn</w:t>
            </w:r>
          </w:p>
        </w:tc>
        <w:tc>
          <w:tcPr>
            <w:tcW w:w="2136" w:type="dxa"/>
            <w:tcBorders>
              <w:top w:val="nil"/>
              <w:left w:val="nil"/>
              <w:bottom w:val="nil"/>
              <w:right w:val="nil"/>
            </w:tcBorders>
            <w:noWrap/>
            <w:vAlign w:val="bottom"/>
            <w:hideMark/>
          </w:tcPr>
          <w:p w14:paraId="2E4114FD" w14:textId="77777777" w:rsidR="0076650D" w:rsidRPr="0076650D" w:rsidRDefault="0076650D" w:rsidP="0076650D">
            <w:pPr>
              <w:jc w:val="left"/>
              <w:rPr>
                <w:rFonts w:ascii="Aptos Narrow" w:eastAsia="Times New Roman" w:hAnsi="Aptos Narrow" w:cs="Arial"/>
                <w:color w:val="000000"/>
                <w:sz w:val="22"/>
                <w:szCs w:val="22"/>
                <w:lang w:eastAsia="nl-NL"/>
              </w:rPr>
            </w:pPr>
            <w:r w:rsidRPr="0076650D">
              <w:rPr>
                <w:rFonts w:ascii="Aptos Narrow" w:eastAsia="Times New Roman" w:hAnsi="Aptos Narrow" w:cs="Arial"/>
                <w:color w:val="000000"/>
                <w:sz w:val="22"/>
                <w:szCs w:val="22"/>
                <w:lang w:eastAsia="nl-NL"/>
              </w:rPr>
              <w:t xml:space="preserve">Amsterdam </w:t>
            </w:r>
          </w:p>
        </w:tc>
        <w:tc>
          <w:tcPr>
            <w:tcW w:w="2816" w:type="dxa"/>
            <w:tcBorders>
              <w:top w:val="nil"/>
              <w:left w:val="nil"/>
              <w:bottom w:val="nil"/>
              <w:right w:val="nil"/>
            </w:tcBorders>
            <w:noWrap/>
            <w:vAlign w:val="bottom"/>
            <w:hideMark/>
          </w:tcPr>
          <w:p w14:paraId="11CF0940" w14:textId="77777777" w:rsidR="0076650D" w:rsidRPr="0076650D" w:rsidRDefault="0076650D" w:rsidP="0076650D">
            <w:pPr>
              <w:jc w:val="right"/>
              <w:rPr>
                <w:rFonts w:ascii="Aptos Narrow" w:eastAsia="Times New Roman" w:hAnsi="Aptos Narrow" w:cs="Arial"/>
                <w:color w:val="000000"/>
                <w:sz w:val="22"/>
                <w:szCs w:val="22"/>
                <w:lang w:eastAsia="nl-NL"/>
              </w:rPr>
            </w:pPr>
            <w:r w:rsidRPr="0076650D">
              <w:rPr>
                <w:rFonts w:ascii="Aptos Narrow" w:eastAsia="Times New Roman" w:hAnsi="Aptos Narrow" w:cs="Arial"/>
                <w:color w:val="000000"/>
                <w:sz w:val="22"/>
                <w:szCs w:val="22"/>
                <w:lang w:eastAsia="nl-NL"/>
              </w:rPr>
              <w:t>4-aug</w:t>
            </w:r>
          </w:p>
        </w:tc>
        <w:tc>
          <w:tcPr>
            <w:tcW w:w="1836" w:type="dxa"/>
            <w:tcBorders>
              <w:top w:val="nil"/>
              <w:left w:val="nil"/>
              <w:bottom w:val="nil"/>
              <w:right w:val="nil"/>
            </w:tcBorders>
            <w:noWrap/>
            <w:vAlign w:val="bottom"/>
            <w:hideMark/>
          </w:tcPr>
          <w:p w14:paraId="4EA29FD6" w14:textId="77777777" w:rsidR="0076650D" w:rsidRPr="0076650D" w:rsidRDefault="0076650D" w:rsidP="0076650D">
            <w:pPr>
              <w:jc w:val="right"/>
              <w:rPr>
                <w:rFonts w:ascii="Aptos Narrow" w:eastAsia="Times New Roman" w:hAnsi="Aptos Narrow" w:cs="Arial"/>
                <w:color w:val="000000"/>
                <w:sz w:val="22"/>
                <w:szCs w:val="22"/>
                <w:lang w:eastAsia="nl-NL"/>
              </w:rPr>
            </w:pPr>
            <w:r w:rsidRPr="0076650D">
              <w:rPr>
                <w:rFonts w:ascii="Aptos Narrow" w:eastAsia="Times New Roman" w:hAnsi="Aptos Narrow" w:cs="Arial"/>
                <w:color w:val="000000"/>
                <w:sz w:val="22"/>
                <w:szCs w:val="22"/>
                <w:lang w:eastAsia="nl-NL"/>
              </w:rPr>
              <w:t>19-sep</w:t>
            </w:r>
          </w:p>
        </w:tc>
      </w:tr>
    </w:tbl>
    <w:p w14:paraId="5B21475B" w14:textId="77777777" w:rsidR="0076650D" w:rsidRPr="00786F4E" w:rsidRDefault="0076650D" w:rsidP="00FB0323"/>
    <w:p w14:paraId="509FB335" w14:textId="0B8C890E" w:rsidR="29142654" w:rsidRDefault="006422D7" w:rsidP="29142654">
      <w:r w:rsidRPr="006422D7">
        <w:rPr>
          <w:noProof/>
        </w:rPr>
        <w:drawing>
          <wp:inline distT="0" distB="0" distL="0" distR="0" wp14:anchorId="058B2F7E" wp14:editId="5A7F0651">
            <wp:extent cx="5760720" cy="755650"/>
            <wp:effectExtent l="0" t="0" r="0" b="6350"/>
            <wp:docPr id="188453185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55650"/>
                    </a:xfrm>
                    <a:prstGeom prst="rect">
                      <a:avLst/>
                    </a:prstGeom>
                    <a:noFill/>
                    <a:ln>
                      <a:noFill/>
                    </a:ln>
                  </pic:spPr>
                </pic:pic>
              </a:graphicData>
            </a:graphic>
          </wp:inline>
        </w:drawing>
      </w:r>
    </w:p>
    <w:p w14:paraId="009DB1CB" w14:textId="77777777" w:rsidR="00AB589C" w:rsidRDefault="00AB589C" w:rsidP="005C7B90">
      <w:pPr>
        <w:rPr>
          <w:color w:val="ED7D31" w:themeColor="accent2"/>
        </w:rPr>
      </w:pPr>
    </w:p>
    <w:p w14:paraId="0E7044B2" w14:textId="77777777" w:rsidR="00C90F75" w:rsidRDefault="00C90F75" w:rsidP="005C7B90">
      <w:pPr>
        <w:rPr>
          <w:color w:val="ED7D31" w:themeColor="accent2"/>
        </w:rPr>
      </w:pPr>
    </w:p>
    <w:p w14:paraId="45471742" w14:textId="77777777" w:rsidR="00C90F75" w:rsidRDefault="00C90F75" w:rsidP="005C7B90">
      <w:pPr>
        <w:rPr>
          <w:color w:val="ED7D31" w:themeColor="accent2"/>
        </w:rPr>
      </w:pPr>
    </w:p>
    <w:p w14:paraId="5CCA35C7" w14:textId="77777777" w:rsidR="00C90F75" w:rsidRDefault="00C90F75" w:rsidP="005C7B90">
      <w:pPr>
        <w:rPr>
          <w:color w:val="ED7D31" w:themeColor="accent2"/>
        </w:rPr>
      </w:pPr>
    </w:p>
    <w:p w14:paraId="7EE218CE" w14:textId="77777777" w:rsidR="00C90F75" w:rsidRDefault="00C90F75" w:rsidP="005C7B90">
      <w:pPr>
        <w:rPr>
          <w:color w:val="ED7D31" w:themeColor="accent2"/>
        </w:rPr>
      </w:pPr>
    </w:p>
    <w:p w14:paraId="6D782D48" w14:textId="77777777" w:rsidR="00C90F75" w:rsidRDefault="00C90F75" w:rsidP="005C7B90">
      <w:pPr>
        <w:rPr>
          <w:color w:val="ED7D31" w:themeColor="accent2"/>
        </w:rPr>
      </w:pPr>
    </w:p>
    <w:p w14:paraId="36C01B3E" w14:textId="77777777" w:rsidR="00C90F75" w:rsidRDefault="00C90F75" w:rsidP="005C7B90">
      <w:pPr>
        <w:rPr>
          <w:color w:val="ED7D31" w:themeColor="accent2"/>
        </w:rPr>
      </w:pPr>
    </w:p>
    <w:p w14:paraId="54165810" w14:textId="77777777" w:rsidR="00AB589C" w:rsidRDefault="00AB589C" w:rsidP="005C7B90">
      <w:pPr>
        <w:rPr>
          <w:color w:val="ED7D31" w:themeColor="accent2"/>
        </w:rPr>
      </w:pPr>
    </w:p>
    <w:tbl>
      <w:tblPr>
        <w:tblW w:w="11424" w:type="dxa"/>
        <w:tblCellMar>
          <w:left w:w="70" w:type="dxa"/>
          <w:right w:w="70" w:type="dxa"/>
        </w:tblCellMar>
        <w:tblLook w:val="04A0" w:firstRow="1" w:lastRow="0" w:firstColumn="1" w:lastColumn="0" w:noHBand="0" w:noVBand="1"/>
      </w:tblPr>
      <w:tblGrid>
        <w:gridCol w:w="4656"/>
        <w:gridCol w:w="1676"/>
        <w:gridCol w:w="1916"/>
        <w:gridCol w:w="3176"/>
      </w:tblGrid>
      <w:tr w:rsidR="0020277A" w:rsidRPr="0020277A" w14:paraId="7EC93324" w14:textId="77777777" w:rsidTr="0020277A">
        <w:trPr>
          <w:trHeight w:val="300"/>
        </w:trPr>
        <w:tc>
          <w:tcPr>
            <w:tcW w:w="4656" w:type="dxa"/>
            <w:tcBorders>
              <w:top w:val="nil"/>
              <w:left w:val="nil"/>
              <w:bottom w:val="nil"/>
              <w:right w:val="nil"/>
            </w:tcBorders>
            <w:noWrap/>
            <w:vAlign w:val="bottom"/>
            <w:hideMark/>
          </w:tcPr>
          <w:p w14:paraId="4C7B6725" w14:textId="77777777" w:rsidR="0020277A" w:rsidRPr="0020277A" w:rsidRDefault="0020277A" w:rsidP="0020277A">
            <w:pPr>
              <w:jc w:val="left"/>
              <w:rPr>
                <w:rFonts w:ascii="Aptos Narrow" w:eastAsia="Times New Roman" w:hAnsi="Aptos Narrow" w:cs="Arial"/>
                <w:b/>
                <w:bCs/>
                <w:color w:val="000000"/>
                <w:sz w:val="22"/>
                <w:szCs w:val="22"/>
                <w:lang w:eastAsia="nl-NL"/>
              </w:rPr>
            </w:pPr>
            <w:bookmarkStart w:id="59" w:name="_Toc118736231"/>
            <w:bookmarkStart w:id="60" w:name="_Toc142472119"/>
            <w:r w:rsidRPr="0020277A">
              <w:rPr>
                <w:rFonts w:ascii="Aptos Narrow" w:eastAsia="Times New Roman" w:hAnsi="Aptos Narrow" w:cs="Arial"/>
                <w:b/>
                <w:bCs/>
                <w:color w:val="000000"/>
                <w:sz w:val="22"/>
                <w:szCs w:val="22"/>
                <w:lang w:eastAsia="nl-NL"/>
              </w:rPr>
              <w:lastRenderedPageBreak/>
              <w:t>Project</w:t>
            </w:r>
          </w:p>
        </w:tc>
        <w:tc>
          <w:tcPr>
            <w:tcW w:w="1676" w:type="dxa"/>
            <w:tcBorders>
              <w:top w:val="nil"/>
              <w:left w:val="nil"/>
              <w:bottom w:val="nil"/>
              <w:right w:val="nil"/>
            </w:tcBorders>
            <w:noWrap/>
            <w:vAlign w:val="bottom"/>
            <w:hideMark/>
          </w:tcPr>
          <w:p w14:paraId="3530E44A" w14:textId="77777777" w:rsidR="0020277A" w:rsidRPr="0020277A" w:rsidRDefault="0020277A" w:rsidP="0020277A">
            <w:pPr>
              <w:jc w:val="left"/>
              <w:rPr>
                <w:rFonts w:ascii="Aptos Narrow" w:eastAsia="Times New Roman" w:hAnsi="Aptos Narrow" w:cs="Arial"/>
                <w:b/>
                <w:bCs/>
                <w:color w:val="000000"/>
                <w:sz w:val="22"/>
                <w:szCs w:val="22"/>
                <w:lang w:eastAsia="nl-NL"/>
              </w:rPr>
            </w:pPr>
            <w:r w:rsidRPr="0020277A">
              <w:rPr>
                <w:rFonts w:ascii="Aptos Narrow" w:eastAsia="Times New Roman" w:hAnsi="Aptos Narrow" w:cs="Arial"/>
                <w:b/>
                <w:bCs/>
                <w:color w:val="000000"/>
                <w:sz w:val="22"/>
                <w:szCs w:val="22"/>
                <w:lang w:eastAsia="nl-NL"/>
              </w:rPr>
              <w:t>Stad</w:t>
            </w:r>
          </w:p>
        </w:tc>
        <w:tc>
          <w:tcPr>
            <w:tcW w:w="1916" w:type="dxa"/>
            <w:tcBorders>
              <w:top w:val="nil"/>
              <w:left w:val="nil"/>
              <w:bottom w:val="nil"/>
              <w:right w:val="nil"/>
            </w:tcBorders>
            <w:noWrap/>
            <w:vAlign w:val="bottom"/>
            <w:hideMark/>
          </w:tcPr>
          <w:p w14:paraId="2FB2A94D" w14:textId="77777777" w:rsidR="0020277A" w:rsidRPr="0020277A" w:rsidRDefault="0020277A" w:rsidP="0020277A">
            <w:pPr>
              <w:jc w:val="left"/>
              <w:rPr>
                <w:rFonts w:ascii="Aptos Narrow" w:eastAsia="Times New Roman" w:hAnsi="Aptos Narrow" w:cs="Arial"/>
                <w:b/>
                <w:bCs/>
                <w:color w:val="000000"/>
                <w:sz w:val="22"/>
                <w:szCs w:val="22"/>
                <w:lang w:eastAsia="nl-NL"/>
              </w:rPr>
            </w:pPr>
            <w:r w:rsidRPr="0020277A">
              <w:rPr>
                <w:rFonts w:ascii="Aptos Narrow" w:eastAsia="Times New Roman" w:hAnsi="Aptos Narrow" w:cs="Arial"/>
                <w:b/>
                <w:bCs/>
                <w:color w:val="000000"/>
                <w:sz w:val="22"/>
                <w:szCs w:val="22"/>
                <w:lang w:eastAsia="nl-NL"/>
              </w:rPr>
              <w:t>Startdatum</w:t>
            </w:r>
          </w:p>
        </w:tc>
        <w:tc>
          <w:tcPr>
            <w:tcW w:w="3176" w:type="dxa"/>
            <w:tcBorders>
              <w:top w:val="nil"/>
              <w:left w:val="nil"/>
              <w:bottom w:val="nil"/>
              <w:right w:val="nil"/>
            </w:tcBorders>
            <w:noWrap/>
            <w:vAlign w:val="bottom"/>
            <w:hideMark/>
          </w:tcPr>
          <w:p w14:paraId="7415AE36" w14:textId="77777777" w:rsidR="0020277A" w:rsidRPr="0020277A" w:rsidRDefault="0020277A" w:rsidP="0020277A">
            <w:pPr>
              <w:jc w:val="left"/>
              <w:rPr>
                <w:rFonts w:ascii="Aptos Narrow" w:eastAsia="Times New Roman" w:hAnsi="Aptos Narrow" w:cs="Arial"/>
                <w:b/>
                <w:bCs/>
                <w:color w:val="000000"/>
                <w:sz w:val="22"/>
                <w:szCs w:val="22"/>
                <w:lang w:eastAsia="nl-NL"/>
              </w:rPr>
            </w:pPr>
            <w:r w:rsidRPr="0020277A">
              <w:rPr>
                <w:rFonts w:ascii="Aptos Narrow" w:eastAsia="Times New Roman" w:hAnsi="Aptos Narrow" w:cs="Arial"/>
                <w:b/>
                <w:bCs/>
                <w:color w:val="000000"/>
                <w:sz w:val="22"/>
                <w:szCs w:val="22"/>
                <w:lang w:eastAsia="nl-NL"/>
              </w:rPr>
              <w:t>Einddatum</w:t>
            </w:r>
          </w:p>
        </w:tc>
      </w:tr>
      <w:tr w:rsidR="0020277A" w:rsidRPr="0020277A" w14:paraId="2553554D" w14:textId="77777777" w:rsidTr="0020277A">
        <w:trPr>
          <w:trHeight w:val="300"/>
        </w:trPr>
        <w:tc>
          <w:tcPr>
            <w:tcW w:w="4656" w:type="dxa"/>
            <w:tcBorders>
              <w:top w:val="nil"/>
              <w:left w:val="nil"/>
              <w:bottom w:val="nil"/>
              <w:right w:val="nil"/>
            </w:tcBorders>
            <w:noWrap/>
            <w:vAlign w:val="bottom"/>
            <w:hideMark/>
          </w:tcPr>
          <w:p w14:paraId="07BBF114" w14:textId="77777777" w:rsidR="0020277A" w:rsidRPr="0020277A" w:rsidRDefault="0020277A" w:rsidP="0020277A">
            <w:pPr>
              <w:jc w:val="left"/>
              <w:rPr>
                <w:rFonts w:ascii="Aptos Narrow" w:eastAsia="Times New Roman" w:hAnsi="Aptos Narrow" w:cs="Arial"/>
                <w:color w:val="000000"/>
                <w:sz w:val="22"/>
                <w:szCs w:val="22"/>
                <w:lang w:eastAsia="nl-NL"/>
              </w:rPr>
            </w:pPr>
            <w:proofErr w:type="spellStart"/>
            <w:r w:rsidRPr="0020277A">
              <w:rPr>
                <w:rFonts w:ascii="Aptos Narrow" w:eastAsia="Times New Roman" w:hAnsi="Aptos Narrow" w:cs="Arial"/>
                <w:color w:val="000000"/>
                <w:sz w:val="22"/>
                <w:szCs w:val="22"/>
                <w:lang w:eastAsia="nl-NL"/>
              </w:rPr>
              <w:t>T'loopveld</w:t>
            </w:r>
            <w:proofErr w:type="spellEnd"/>
          </w:p>
        </w:tc>
        <w:tc>
          <w:tcPr>
            <w:tcW w:w="1676" w:type="dxa"/>
            <w:tcBorders>
              <w:top w:val="nil"/>
              <w:left w:val="nil"/>
              <w:bottom w:val="nil"/>
              <w:right w:val="nil"/>
            </w:tcBorders>
            <w:noWrap/>
            <w:vAlign w:val="bottom"/>
            <w:hideMark/>
          </w:tcPr>
          <w:p w14:paraId="501C4FA0" w14:textId="77777777" w:rsidR="0020277A" w:rsidRPr="0020277A" w:rsidRDefault="0020277A" w:rsidP="0020277A">
            <w:pPr>
              <w:jc w:val="left"/>
              <w:rPr>
                <w:rFonts w:ascii="Aptos Narrow" w:eastAsia="Times New Roman" w:hAnsi="Aptos Narrow" w:cs="Arial"/>
                <w:color w:val="000000"/>
                <w:sz w:val="22"/>
                <w:szCs w:val="22"/>
                <w:lang w:eastAsia="nl-NL"/>
              </w:rPr>
            </w:pPr>
            <w:r w:rsidRPr="0020277A">
              <w:rPr>
                <w:rFonts w:ascii="Aptos Narrow" w:eastAsia="Times New Roman" w:hAnsi="Aptos Narrow" w:cs="Arial"/>
                <w:color w:val="000000"/>
                <w:sz w:val="22"/>
                <w:szCs w:val="22"/>
                <w:lang w:eastAsia="nl-NL"/>
              </w:rPr>
              <w:t xml:space="preserve">Amsterdam </w:t>
            </w:r>
          </w:p>
        </w:tc>
        <w:tc>
          <w:tcPr>
            <w:tcW w:w="1916" w:type="dxa"/>
            <w:tcBorders>
              <w:top w:val="nil"/>
              <w:left w:val="nil"/>
              <w:bottom w:val="nil"/>
              <w:right w:val="nil"/>
            </w:tcBorders>
            <w:noWrap/>
            <w:vAlign w:val="bottom"/>
            <w:hideMark/>
          </w:tcPr>
          <w:p w14:paraId="69279247" w14:textId="77777777" w:rsidR="0020277A" w:rsidRPr="0020277A" w:rsidRDefault="0020277A" w:rsidP="0020277A">
            <w:pPr>
              <w:jc w:val="left"/>
              <w:rPr>
                <w:rFonts w:ascii="Aptos Narrow" w:eastAsia="Times New Roman" w:hAnsi="Aptos Narrow" w:cs="Arial"/>
                <w:color w:val="000000"/>
                <w:sz w:val="22"/>
                <w:szCs w:val="22"/>
                <w:lang w:eastAsia="nl-NL"/>
              </w:rPr>
            </w:pPr>
            <w:r w:rsidRPr="0020277A">
              <w:rPr>
                <w:rFonts w:ascii="Aptos Narrow" w:eastAsia="Times New Roman" w:hAnsi="Aptos Narrow" w:cs="Arial"/>
                <w:color w:val="000000"/>
                <w:sz w:val="22"/>
                <w:szCs w:val="22"/>
                <w:lang w:eastAsia="nl-NL"/>
              </w:rPr>
              <w:t>26-mei</w:t>
            </w:r>
          </w:p>
        </w:tc>
        <w:tc>
          <w:tcPr>
            <w:tcW w:w="3176" w:type="dxa"/>
            <w:tcBorders>
              <w:top w:val="nil"/>
              <w:left w:val="nil"/>
              <w:bottom w:val="nil"/>
              <w:right w:val="nil"/>
            </w:tcBorders>
            <w:noWrap/>
            <w:vAlign w:val="bottom"/>
            <w:hideMark/>
          </w:tcPr>
          <w:p w14:paraId="1D6C296F" w14:textId="77777777" w:rsidR="00C90F75" w:rsidRDefault="00C90F75" w:rsidP="0020277A">
            <w:pPr>
              <w:jc w:val="right"/>
              <w:rPr>
                <w:rFonts w:ascii="Aptos Narrow" w:eastAsia="Times New Roman" w:hAnsi="Aptos Narrow" w:cs="Arial"/>
                <w:color w:val="000000"/>
                <w:sz w:val="22"/>
                <w:szCs w:val="22"/>
                <w:lang w:eastAsia="nl-NL"/>
              </w:rPr>
            </w:pPr>
          </w:p>
          <w:p w14:paraId="2E238FE0" w14:textId="2DC5EEF0" w:rsidR="0020277A" w:rsidRPr="0020277A" w:rsidRDefault="0020277A" w:rsidP="0020277A">
            <w:pPr>
              <w:jc w:val="right"/>
              <w:rPr>
                <w:rFonts w:ascii="Aptos Narrow" w:eastAsia="Times New Roman" w:hAnsi="Aptos Narrow" w:cs="Arial"/>
                <w:color w:val="000000"/>
                <w:sz w:val="22"/>
                <w:szCs w:val="22"/>
                <w:lang w:eastAsia="nl-NL"/>
              </w:rPr>
            </w:pPr>
            <w:r w:rsidRPr="0020277A">
              <w:rPr>
                <w:rFonts w:ascii="Aptos Narrow" w:eastAsia="Times New Roman" w:hAnsi="Aptos Narrow" w:cs="Arial"/>
                <w:color w:val="000000"/>
                <w:sz w:val="22"/>
                <w:szCs w:val="22"/>
                <w:lang w:eastAsia="nl-NL"/>
              </w:rPr>
              <w:t>22-aug</w:t>
            </w:r>
          </w:p>
        </w:tc>
      </w:tr>
    </w:tbl>
    <w:p w14:paraId="2694D33D" w14:textId="77777777" w:rsidR="00C90F75" w:rsidRDefault="00C90F75" w:rsidP="00AB589C">
      <w:pPr>
        <w:pStyle w:val="Kop1"/>
        <w:numPr>
          <w:ilvl w:val="0"/>
          <w:numId w:val="0"/>
        </w:numPr>
      </w:pPr>
      <w:r w:rsidRPr="00C90F75">
        <w:rPr>
          <w:noProof/>
        </w:rPr>
        <w:drawing>
          <wp:inline distT="0" distB="0" distL="0" distR="0" wp14:anchorId="25522374" wp14:editId="10874516">
            <wp:extent cx="5760720" cy="681990"/>
            <wp:effectExtent l="0" t="0" r="0" b="3810"/>
            <wp:docPr id="12077064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681990"/>
                    </a:xfrm>
                    <a:prstGeom prst="rect">
                      <a:avLst/>
                    </a:prstGeom>
                    <a:noFill/>
                    <a:ln>
                      <a:noFill/>
                    </a:ln>
                  </pic:spPr>
                </pic:pic>
              </a:graphicData>
            </a:graphic>
          </wp:inline>
        </w:drawing>
      </w:r>
    </w:p>
    <w:p w14:paraId="6E29BD9D" w14:textId="2C2FE6CF" w:rsidR="00A75273" w:rsidRDefault="00A75273" w:rsidP="00AB589C">
      <w:pPr>
        <w:pStyle w:val="Kop1"/>
        <w:numPr>
          <w:ilvl w:val="0"/>
          <w:numId w:val="0"/>
        </w:numPr>
      </w:pPr>
      <w:r>
        <w:t xml:space="preserve">Rapportage </w:t>
      </w:r>
      <w:r w:rsidR="001266C3">
        <w:t xml:space="preserve">van de </w:t>
      </w:r>
      <w:r w:rsidR="001266C3" w:rsidRPr="006C3145">
        <w:t>CO</w:t>
      </w:r>
      <w:r w:rsidR="001266C3" w:rsidRPr="006C3145">
        <w:rPr>
          <w:vertAlign w:val="subscript"/>
        </w:rPr>
        <w:t>2</w:t>
      </w:r>
      <w:r w:rsidR="001266C3">
        <w:t>-emissie-inventaris</w:t>
      </w:r>
      <w:bookmarkEnd w:id="59"/>
      <w:bookmarkEnd w:id="60"/>
    </w:p>
    <w:p w14:paraId="525C2034" w14:textId="77777777" w:rsidR="00A75273" w:rsidRDefault="00A75273" w:rsidP="00A75273"/>
    <w:p w14:paraId="334C4195" w14:textId="77777777" w:rsidR="002E4938" w:rsidRDefault="00DC40AB" w:rsidP="002E4938">
      <w:pPr>
        <w:pStyle w:val="Kop2"/>
      </w:pPr>
      <w:bookmarkStart w:id="61" w:name="_Toc118736232"/>
      <w:bookmarkStart w:id="62" w:name="_Toc142472120"/>
      <w:r>
        <w:t>Rapportage volgens ISO 14064-1</w:t>
      </w:r>
      <w:bookmarkEnd w:id="61"/>
      <w:bookmarkEnd w:id="62"/>
    </w:p>
    <w:p w14:paraId="0F7CD10A" w14:textId="77777777" w:rsidR="00B13F71" w:rsidRDefault="00A75273" w:rsidP="00982546">
      <w:r>
        <w:t xml:space="preserve">De </w:t>
      </w:r>
      <w:r w:rsidRPr="006C3145">
        <w:t>CO</w:t>
      </w:r>
      <w:r w:rsidRPr="006C3145">
        <w:rPr>
          <w:vertAlign w:val="subscript"/>
        </w:rPr>
        <w:t>2</w:t>
      </w:r>
      <w:r>
        <w:t xml:space="preserve">-emissie-inventaris rapportage is opgesteld </w:t>
      </w:r>
      <w:r w:rsidR="00B13F71" w:rsidRPr="00AD4F9C">
        <w:t xml:space="preserve">volgens de eisen uit ISO 14064-1, paragraaf </w:t>
      </w:r>
      <w:r w:rsidR="00B13F71">
        <w:t>9.3.1</w:t>
      </w:r>
      <w:r w:rsidR="00B13F71" w:rsidRPr="00AD4F9C">
        <w:t xml:space="preserve">. In </w:t>
      </w:r>
      <w:r w:rsidR="00B13F71">
        <w:t>onderstaande tabel</w:t>
      </w:r>
      <w:r w:rsidR="00B13F71" w:rsidRPr="00AD4F9C">
        <w:t xml:space="preserve"> is een kruistabel gemaakt van de onderdelen uit ISO 14064-1 en </w:t>
      </w:r>
      <w:r w:rsidR="00B13F71">
        <w:t xml:space="preserve">de </w:t>
      </w:r>
      <w:r w:rsidR="006E6FBE">
        <w:t>vermelding</w:t>
      </w:r>
      <w:r w:rsidR="00B13F71">
        <w:t xml:space="preserve"> in dit dossier.</w:t>
      </w:r>
    </w:p>
    <w:p w14:paraId="426C334A" w14:textId="77777777" w:rsidR="00B13F71" w:rsidRDefault="00B13F71" w:rsidP="00A75273"/>
    <w:tbl>
      <w:tblPr>
        <w:tblStyle w:val="Tabelraster"/>
        <w:tblpPr w:leftFromText="141" w:rightFromText="141" w:vertAnchor="text" w:horzAnchor="margin" w:tblpY="-71"/>
        <w:tblW w:w="5266"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19"/>
        <w:gridCol w:w="4448"/>
        <w:gridCol w:w="3693"/>
      </w:tblGrid>
      <w:tr w:rsidR="006E6FBE" w:rsidRPr="000D3F7B" w14:paraId="2DDD2806" w14:textId="77777777" w:rsidTr="00201C22">
        <w:trPr>
          <w:trHeight w:val="661"/>
        </w:trPr>
        <w:tc>
          <w:tcPr>
            <w:tcW w:w="697" w:type="pct"/>
            <w:tcBorders>
              <w:top w:val="single" w:sz="36" w:space="0" w:color="FFFFFF" w:themeColor="background1"/>
              <w:left w:val="single" w:sz="36" w:space="0" w:color="FFFFFF" w:themeColor="background1"/>
              <w:bottom w:val="single" w:sz="36" w:space="0" w:color="FFFFFF" w:themeColor="background1"/>
            </w:tcBorders>
            <w:shd w:val="clear" w:color="auto" w:fill="6ABE93"/>
            <w:vAlign w:val="center"/>
          </w:tcPr>
          <w:p w14:paraId="4BF882BC" w14:textId="77777777" w:rsidR="006E6FBE" w:rsidRPr="00F37C18" w:rsidRDefault="006E6FBE" w:rsidP="00201C22">
            <w:pPr>
              <w:jc w:val="center"/>
              <w:rPr>
                <w:rFonts w:eastAsia="SimSun"/>
                <w:b/>
                <w:caps/>
                <w:szCs w:val="20"/>
              </w:rPr>
            </w:pPr>
            <w:r w:rsidRPr="00F37C18">
              <w:rPr>
                <w:rFonts w:eastAsia="SimSun"/>
                <w:b/>
                <w:caps/>
                <w:szCs w:val="20"/>
              </w:rPr>
              <w:t>ISO 14064-1 §9.3.1</w:t>
            </w:r>
          </w:p>
        </w:tc>
        <w:tc>
          <w:tcPr>
            <w:tcW w:w="2351" w:type="pct"/>
            <w:tcBorders>
              <w:top w:val="single" w:sz="36" w:space="0" w:color="FFFFFF" w:themeColor="background1"/>
              <w:bottom w:val="single" w:sz="36" w:space="0" w:color="FFFFFF" w:themeColor="background1"/>
            </w:tcBorders>
            <w:shd w:val="clear" w:color="auto" w:fill="6ABE93"/>
            <w:vAlign w:val="center"/>
          </w:tcPr>
          <w:p w14:paraId="17BC52DF" w14:textId="77777777" w:rsidR="006E6FBE" w:rsidRPr="00F37C18" w:rsidRDefault="006E6FBE" w:rsidP="00201C22">
            <w:pPr>
              <w:jc w:val="center"/>
              <w:rPr>
                <w:rFonts w:eastAsia="SimSun"/>
                <w:b/>
                <w:caps/>
                <w:szCs w:val="20"/>
              </w:rPr>
            </w:pPr>
            <w:r w:rsidRPr="00F37C18">
              <w:rPr>
                <w:rFonts w:eastAsia="SimSun"/>
                <w:b/>
                <w:caps/>
                <w:szCs w:val="20"/>
              </w:rPr>
              <w:t>Beschrijving</w:t>
            </w:r>
          </w:p>
        </w:tc>
        <w:tc>
          <w:tcPr>
            <w:tcW w:w="1952" w:type="pct"/>
            <w:tcBorders>
              <w:top w:val="single" w:sz="36" w:space="0" w:color="FFFFFF" w:themeColor="background1"/>
              <w:bottom w:val="single" w:sz="36" w:space="0" w:color="FFFFFF" w:themeColor="background1"/>
              <w:right w:val="single" w:sz="36" w:space="0" w:color="FFFFFF" w:themeColor="background1"/>
            </w:tcBorders>
            <w:shd w:val="clear" w:color="auto" w:fill="6ABE93"/>
            <w:vAlign w:val="center"/>
          </w:tcPr>
          <w:p w14:paraId="2EC3F00E" w14:textId="77777777" w:rsidR="006E6FBE" w:rsidRPr="00F37C18" w:rsidRDefault="006E6FBE" w:rsidP="00201C22">
            <w:pPr>
              <w:jc w:val="center"/>
              <w:rPr>
                <w:rFonts w:eastAsia="SimSun"/>
                <w:b/>
                <w:caps/>
                <w:szCs w:val="20"/>
              </w:rPr>
            </w:pPr>
            <w:r>
              <w:rPr>
                <w:rFonts w:eastAsia="SimSun"/>
                <w:b/>
                <w:caps/>
                <w:szCs w:val="20"/>
              </w:rPr>
              <w:t>Vermelding</w:t>
            </w:r>
          </w:p>
        </w:tc>
      </w:tr>
      <w:tr w:rsidR="006E6FBE" w:rsidRPr="000D3F7B" w14:paraId="59C46247" w14:textId="77777777" w:rsidTr="005967C0">
        <w:trPr>
          <w:trHeight w:val="337"/>
        </w:trPr>
        <w:tc>
          <w:tcPr>
            <w:tcW w:w="697" w:type="pct"/>
            <w:tcBorders>
              <w:top w:val="single" w:sz="36" w:space="0" w:color="FFFFFF" w:themeColor="background1"/>
            </w:tcBorders>
            <w:shd w:val="clear" w:color="auto" w:fill="F2F2F2" w:themeFill="background1" w:themeFillShade="F2"/>
            <w:vAlign w:val="center"/>
          </w:tcPr>
          <w:p w14:paraId="185526FA" w14:textId="77777777" w:rsidR="006E6FBE" w:rsidRPr="00F37C18" w:rsidRDefault="006E6FBE" w:rsidP="005967C0">
            <w:pPr>
              <w:jc w:val="center"/>
              <w:rPr>
                <w:sz w:val="18"/>
                <w:szCs w:val="18"/>
              </w:rPr>
            </w:pPr>
            <w:r w:rsidRPr="00F37C18">
              <w:rPr>
                <w:sz w:val="18"/>
                <w:szCs w:val="18"/>
              </w:rPr>
              <w:t>A</w:t>
            </w:r>
          </w:p>
        </w:tc>
        <w:tc>
          <w:tcPr>
            <w:tcW w:w="2351" w:type="pct"/>
            <w:tcBorders>
              <w:top w:val="single" w:sz="36" w:space="0" w:color="FFFFFF" w:themeColor="background1"/>
            </w:tcBorders>
            <w:shd w:val="clear" w:color="auto" w:fill="F2F2F2" w:themeFill="background1" w:themeFillShade="F2"/>
            <w:vAlign w:val="center"/>
          </w:tcPr>
          <w:p w14:paraId="15C51286" w14:textId="77777777" w:rsidR="006E6FBE" w:rsidRPr="007C1FC8" w:rsidRDefault="00527940" w:rsidP="00674CB1">
            <w:pPr>
              <w:jc w:val="left"/>
              <w:rPr>
                <w:sz w:val="18"/>
                <w:szCs w:val="18"/>
                <w:lang w:val="en-GB"/>
              </w:rPr>
            </w:pPr>
            <w:r>
              <w:rPr>
                <w:sz w:val="18"/>
                <w:szCs w:val="18"/>
                <w:lang w:val="en-GB"/>
              </w:rPr>
              <w:t>Description of the r</w:t>
            </w:r>
            <w:r w:rsidR="006E6FBE" w:rsidRPr="007C1FC8">
              <w:rPr>
                <w:sz w:val="18"/>
                <w:szCs w:val="18"/>
                <w:lang w:val="en-GB"/>
              </w:rPr>
              <w:t>eporting organization</w:t>
            </w:r>
          </w:p>
        </w:tc>
        <w:tc>
          <w:tcPr>
            <w:tcW w:w="1952" w:type="pct"/>
            <w:tcBorders>
              <w:top w:val="single" w:sz="36" w:space="0" w:color="FFFFFF" w:themeColor="background1"/>
            </w:tcBorders>
            <w:shd w:val="clear" w:color="auto" w:fill="F2F2F2" w:themeFill="background1" w:themeFillShade="F2"/>
            <w:vAlign w:val="center"/>
          </w:tcPr>
          <w:p w14:paraId="44646004" w14:textId="77777777" w:rsidR="006E6FBE" w:rsidRPr="00F37C18" w:rsidRDefault="00982546" w:rsidP="00674CB1">
            <w:pPr>
              <w:jc w:val="left"/>
              <w:rPr>
                <w:sz w:val="18"/>
                <w:szCs w:val="18"/>
              </w:rPr>
            </w:pPr>
            <w:r>
              <w:rPr>
                <w:sz w:val="18"/>
                <w:szCs w:val="18"/>
              </w:rPr>
              <w:t>Verslag</w:t>
            </w:r>
            <w:r w:rsidR="006E6FBE">
              <w:rPr>
                <w:sz w:val="18"/>
                <w:szCs w:val="18"/>
              </w:rPr>
              <w:t xml:space="preserve">, </w:t>
            </w:r>
            <w:r w:rsidR="001D1B72">
              <w:rPr>
                <w:sz w:val="18"/>
                <w:szCs w:val="18"/>
              </w:rPr>
              <w:t>H</w:t>
            </w:r>
            <w:r w:rsidR="00815CE2">
              <w:rPr>
                <w:sz w:val="18"/>
                <w:szCs w:val="18"/>
              </w:rPr>
              <w:t>4</w:t>
            </w:r>
          </w:p>
        </w:tc>
      </w:tr>
      <w:tr w:rsidR="006E6FBE" w:rsidRPr="000D3F7B" w14:paraId="2BA7BDBB" w14:textId="77777777" w:rsidTr="005967C0">
        <w:trPr>
          <w:trHeight w:val="337"/>
        </w:trPr>
        <w:tc>
          <w:tcPr>
            <w:tcW w:w="697" w:type="pct"/>
            <w:shd w:val="clear" w:color="auto" w:fill="F2F2F2" w:themeFill="background1" w:themeFillShade="F2"/>
            <w:vAlign w:val="center"/>
          </w:tcPr>
          <w:p w14:paraId="5DFB1C0D" w14:textId="77777777" w:rsidR="006E6FBE" w:rsidRPr="00F37C18" w:rsidRDefault="006E6FBE" w:rsidP="005967C0">
            <w:pPr>
              <w:jc w:val="center"/>
              <w:rPr>
                <w:sz w:val="18"/>
                <w:szCs w:val="18"/>
              </w:rPr>
            </w:pPr>
            <w:r w:rsidRPr="00F37C18">
              <w:rPr>
                <w:sz w:val="18"/>
                <w:szCs w:val="18"/>
              </w:rPr>
              <w:t>B</w:t>
            </w:r>
          </w:p>
        </w:tc>
        <w:tc>
          <w:tcPr>
            <w:tcW w:w="2351" w:type="pct"/>
            <w:shd w:val="clear" w:color="auto" w:fill="F2F2F2" w:themeFill="background1" w:themeFillShade="F2"/>
            <w:vAlign w:val="center"/>
          </w:tcPr>
          <w:p w14:paraId="05700BE6" w14:textId="77777777" w:rsidR="006E6FBE" w:rsidRPr="007C1FC8" w:rsidRDefault="006E6FBE" w:rsidP="00674CB1">
            <w:pPr>
              <w:jc w:val="left"/>
              <w:rPr>
                <w:sz w:val="18"/>
                <w:szCs w:val="18"/>
                <w:lang w:val="en-GB"/>
              </w:rPr>
            </w:pPr>
            <w:r w:rsidRPr="007C1FC8">
              <w:rPr>
                <w:sz w:val="18"/>
                <w:szCs w:val="18"/>
                <w:lang w:val="en-GB"/>
              </w:rPr>
              <w:t xml:space="preserve">Person </w:t>
            </w:r>
            <w:r w:rsidR="00F272CF">
              <w:rPr>
                <w:sz w:val="18"/>
                <w:szCs w:val="18"/>
                <w:lang w:val="en-GB"/>
              </w:rPr>
              <w:t xml:space="preserve">or entity </w:t>
            </w:r>
            <w:r w:rsidRPr="007C1FC8">
              <w:rPr>
                <w:sz w:val="18"/>
                <w:szCs w:val="18"/>
                <w:lang w:val="en-GB"/>
              </w:rPr>
              <w:t>responsible</w:t>
            </w:r>
            <w:r w:rsidR="00F272CF">
              <w:rPr>
                <w:sz w:val="18"/>
                <w:szCs w:val="18"/>
                <w:lang w:val="en-GB"/>
              </w:rPr>
              <w:t xml:space="preserve"> for the report</w:t>
            </w:r>
          </w:p>
        </w:tc>
        <w:tc>
          <w:tcPr>
            <w:tcW w:w="1952" w:type="pct"/>
            <w:shd w:val="clear" w:color="auto" w:fill="F2F2F2" w:themeFill="background1" w:themeFillShade="F2"/>
            <w:vAlign w:val="center"/>
          </w:tcPr>
          <w:p w14:paraId="36851C9F" w14:textId="77777777" w:rsidR="006E6FBE" w:rsidRPr="00F37C18" w:rsidRDefault="00982546" w:rsidP="00674CB1">
            <w:pPr>
              <w:jc w:val="left"/>
              <w:rPr>
                <w:sz w:val="18"/>
                <w:szCs w:val="18"/>
              </w:rPr>
            </w:pPr>
            <w:r>
              <w:rPr>
                <w:sz w:val="18"/>
                <w:szCs w:val="18"/>
              </w:rPr>
              <w:t>Verslag</w:t>
            </w:r>
            <w:r w:rsidR="000E5126">
              <w:rPr>
                <w:sz w:val="18"/>
                <w:szCs w:val="18"/>
              </w:rPr>
              <w:t xml:space="preserve">, </w:t>
            </w:r>
            <w:r w:rsidR="001D1B72" w:rsidRPr="001D1B72">
              <w:rPr>
                <w:rFonts w:eastAsia="SimSun"/>
                <w:bCs/>
                <w:caps/>
                <w:szCs w:val="20"/>
              </w:rPr>
              <w:t>§</w:t>
            </w:r>
            <w:r w:rsidR="00815CE2">
              <w:rPr>
                <w:sz w:val="18"/>
                <w:szCs w:val="18"/>
              </w:rPr>
              <w:t>4.2</w:t>
            </w:r>
          </w:p>
        </w:tc>
      </w:tr>
      <w:tr w:rsidR="006E6FBE" w:rsidRPr="000D3F7B" w14:paraId="1B70F629" w14:textId="77777777" w:rsidTr="005967C0">
        <w:trPr>
          <w:trHeight w:val="323"/>
        </w:trPr>
        <w:tc>
          <w:tcPr>
            <w:tcW w:w="697" w:type="pct"/>
            <w:shd w:val="clear" w:color="auto" w:fill="F2F2F2" w:themeFill="background1" w:themeFillShade="F2"/>
            <w:vAlign w:val="center"/>
          </w:tcPr>
          <w:p w14:paraId="5D266ABA" w14:textId="77777777" w:rsidR="006E6FBE" w:rsidRPr="00F37C18" w:rsidRDefault="006E6FBE" w:rsidP="005967C0">
            <w:pPr>
              <w:jc w:val="center"/>
              <w:rPr>
                <w:sz w:val="18"/>
                <w:szCs w:val="18"/>
              </w:rPr>
            </w:pPr>
            <w:r w:rsidRPr="00F37C18">
              <w:rPr>
                <w:sz w:val="18"/>
                <w:szCs w:val="18"/>
              </w:rPr>
              <w:t>C</w:t>
            </w:r>
          </w:p>
        </w:tc>
        <w:tc>
          <w:tcPr>
            <w:tcW w:w="2351" w:type="pct"/>
            <w:shd w:val="clear" w:color="auto" w:fill="F2F2F2" w:themeFill="background1" w:themeFillShade="F2"/>
            <w:vAlign w:val="center"/>
          </w:tcPr>
          <w:p w14:paraId="25D93977" w14:textId="77777777" w:rsidR="006E6FBE" w:rsidRPr="007C1FC8" w:rsidRDefault="006E6FBE" w:rsidP="00674CB1">
            <w:pPr>
              <w:jc w:val="left"/>
              <w:rPr>
                <w:sz w:val="18"/>
                <w:szCs w:val="18"/>
                <w:lang w:val="en-GB"/>
              </w:rPr>
            </w:pPr>
            <w:r w:rsidRPr="007C1FC8">
              <w:rPr>
                <w:sz w:val="18"/>
                <w:szCs w:val="18"/>
                <w:lang w:val="en-GB"/>
              </w:rPr>
              <w:t>Reporting period</w:t>
            </w:r>
            <w:r w:rsidR="00F272CF">
              <w:rPr>
                <w:sz w:val="18"/>
                <w:szCs w:val="18"/>
                <w:lang w:val="en-GB"/>
              </w:rPr>
              <w:t xml:space="preserve"> covered</w:t>
            </w:r>
          </w:p>
        </w:tc>
        <w:tc>
          <w:tcPr>
            <w:tcW w:w="1952" w:type="pct"/>
            <w:shd w:val="clear" w:color="auto" w:fill="F2F2F2" w:themeFill="background1" w:themeFillShade="F2"/>
            <w:vAlign w:val="center"/>
          </w:tcPr>
          <w:p w14:paraId="197E402E" w14:textId="77777777" w:rsidR="006E6FBE" w:rsidRPr="00F37C18" w:rsidRDefault="00982546" w:rsidP="00674CB1">
            <w:pPr>
              <w:jc w:val="left"/>
              <w:rPr>
                <w:sz w:val="18"/>
                <w:szCs w:val="18"/>
              </w:rPr>
            </w:pPr>
            <w:r>
              <w:rPr>
                <w:sz w:val="18"/>
                <w:szCs w:val="18"/>
              </w:rPr>
              <w:t>Verslag</w:t>
            </w:r>
            <w:r w:rsidR="00815CE2">
              <w:rPr>
                <w:sz w:val="18"/>
                <w:szCs w:val="18"/>
              </w:rPr>
              <w:t xml:space="preserve">, </w:t>
            </w:r>
            <w:r w:rsidR="001D1B72" w:rsidRPr="001D1B72">
              <w:rPr>
                <w:rFonts w:eastAsia="SimSun"/>
                <w:bCs/>
                <w:caps/>
                <w:szCs w:val="20"/>
              </w:rPr>
              <w:t>§</w:t>
            </w:r>
            <w:r w:rsidR="00961B4E">
              <w:rPr>
                <w:sz w:val="18"/>
                <w:szCs w:val="18"/>
              </w:rPr>
              <w:t>5.</w:t>
            </w:r>
            <w:r w:rsidR="009558F7">
              <w:rPr>
                <w:sz w:val="18"/>
                <w:szCs w:val="18"/>
              </w:rPr>
              <w:t>2</w:t>
            </w:r>
          </w:p>
        </w:tc>
      </w:tr>
      <w:tr w:rsidR="006E6FBE" w:rsidRPr="000D3F7B" w14:paraId="67C0A17B" w14:textId="77777777" w:rsidTr="005967C0">
        <w:trPr>
          <w:trHeight w:val="337"/>
        </w:trPr>
        <w:tc>
          <w:tcPr>
            <w:tcW w:w="697" w:type="pct"/>
            <w:shd w:val="clear" w:color="auto" w:fill="F2F2F2" w:themeFill="background1" w:themeFillShade="F2"/>
            <w:vAlign w:val="center"/>
          </w:tcPr>
          <w:p w14:paraId="57A04761" w14:textId="77777777" w:rsidR="006E6FBE" w:rsidRPr="00F37C18" w:rsidRDefault="006E6FBE" w:rsidP="005967C0">
            <w:pPr>
              <w:jc w:val="center"/>
              <w:rPr>
                <w:sz w:val="18"/>
                <w:szCs w:val="18"/>
              </w:rPr>
            </w:pPr>
            <w:r w:rsidRPr="00F37C18">
              <w:rPr>
                <w:sz w:val="18"/>
                <w:szCs w:val="18"/>
              </w:rPr>
              <w:t>D, E</w:t>
            </w:r>
          </w:p>
        </w:tc>
        <w:tc>
          <w:tcPr>
            <w:tcW w:w="2351" w:type="pct"/>
            <w:shd w:val="clear" w:color="auto" w:fill="F2F2F2" w:themeFill="background1" w:themeFillShade="F2"/>
            <w:vAlign w:val="center"/>
          </w:tcPr>
          <w:p w14:paraId="3ADF2ED4" w14:textId="77777777" w:rsidR="006E6FBE" w:rsidRPr="007C1FC8" w:rsidRDefault="00F272CF" w:rsidP="00674CB1">
            <w:pPr>
              <w:jc w:val="left"/>
              <w:rPr>
                <w:sz w:val="18"/>
                <w:szCs w:val="18"/>
                <w:lang w:val="en-GB"/>
              </w:rPr>
            </w:pPr>
            <w:r>
              <w:rPr>
                <w:sz w:val="18"/>
                <w:szCs w:val="18"/>
                <w:lang w:val="en-GB"/>
              </w:rPr>
              <w:t>Documentation of o</w:t>
            </w:r>
            <w:r w:rsidR="006E6FBE" w:rsidRPr="007C1FC8">
              <w:rPr>
                <w:sz w:val="18"/>
                <w:szCs w:val="18"/>
                <w:lang w:val="en-GB"/>
              </w:rPr>
              <w:t xml:space="preserve">rganizational </w:t>
            </w:r>
            <w:r w:rsidR="00E75463">
              <w:rPr>
                <w:sz w:val="18"/>
                <w:szCs w:val="18"/>
                <w:lang w:val="en-GB"/>
              </w:rPr>
              <w:t xml:space="preserve">and reporting </w:t>
            </w:r>
            <w:r w:rsidR="006E6FBE" w:rsidRPr="007C1FC8">
              <w:rPr>
                <w:sz w:val="18"/>
                <w:szCs w:val="18"/>
                <w:lang w:val="en-GB"/>
              </w:rPr>
              <w:t>boundaries</w:t>
            </w:r>
            <w:r w:rsidR="00674CB1">
              <w:rPr>
                <w:sz w:val="18"/>
                <w:szCs w:val="18"/>
                <w:lang w:val="en-GB"/>
              </w:rPr>
              <w:t>, including criteria to define significant emissions</w:t>
            </w:r>
          </w:p>
        </w:tc>
        <w:tc>
          <w:tcPr>
            <w:tcW w:w="1952" w:type="pct"/>
            <w:shd w:val="clear" w:color="auto" w:fill="F2F2F2" w:themeFill="background1" w:themeFillShade="F2"/>
            <w:vAlign w:val="center"/>
          </w:tcPr>
          <w:p w14:paraId="1F1445A6" w14:textId="77777777" w:rsidR="006E6FBE" w:rsidRPr="00F37C18" w:rsidRDefault="00982546" w:rsidP="00674CB1">
            <w:pPr>
              <w:jc w:val="left"/>
              <w:rPr>
                <w:sz w:val="18"/>
                <w:szCs w:val="18"/>
              </w:rPr>
            </w:pPr>
            <w:r>
              <w:rPr>
                <w:sz w:val="18"/>
                <w:szCs w:val="18"/>
              </w:rPr>
              <w:t>Verslag</w:t>
            </w:r>
            <w:r w:rsidR="00815CE2">
              <w:rPr>
                <w:sz w:val="18"/>
                <w:szCs w:val="18"/>
              </w:rPr>
              <w:t xml:space="preserve">, </w:t>
            </w:r>
            <w:r w:rsidR="001D1B72" w:rsidRPr="001D1B72">
              <w:rPr>
                <w:rFonts w:eastAsia="SimSun"/>
                <w:bCs/>
                <w:caps/>
                <w:szCs w:val="20"/>
              </w:rPr>
              <w:t>§</w:t>
            </w:r>
            <w:r w:rsidR="00815CE2">
              <w:rPr>
                <w:sz w:val="18"/>
                <w:szCs w:val="18"/>
              </w:rPr>
              <w:t>4.</w:t>
            </w:r>
            <w:r w:rsidR="00201C22">
              <w:rPr>
                <w:sz w:val="18"/>
                <w:szCs w:val="18"/>
              </w:rPr>
              <w:t>3</w:t>
            </w:r>
          </w:p>
        </w:tc>
      </w:tr>
      <w:tr w:rsidR="006E6FBE" w:rsidRPr="00610048" w14:paraId="704249BE" w14:textId="77777777" w:rsidTr="005967C0">
        <w:trPr>
          <w:trHeight w:val="337"/>
        </w:trPr>
        <w:tc>
          <w:tcPr>
            <w:tcW w:w="697" w:type="pct"/>
            <w:shd w:val="clear" w:color="auto" w:fill="F2F2F2" w:themeFill="background1" w:themeFillShade="F2"/>
            <w:vAlign w:val="center"/>
          </w:tcPr>
          <w:p w14:paraId="63FFE404" w14:textId="77777777" w:rsidR="006E6FBE" w:rsidRPr="00F37C18" w:rsidRDefault="006E6FBE" w:rsidP="005967C0">
            <w:pPr>
              <w:jc w:val="center"/>
              <w:rPr>
                <w:sz w:val="18"/>
                <w:szCs w:val="18"/>
              </w:rPr>
            </w:pPr>
            <w:r w:rsidRPr="00F37C18">
              <w:rPr>
                <w:sz w:val="18"/>
                <w:szCs w:val="18"/>
              </w:rPr>
              <w:t>F</w:t>
            </w:r>
          </w:p>
        </w:tc>
        <w:tc>
          <w:tcPr>
            <w:tcW w:w="2351" w:type="pct"/>
            <w:shd w:val="clear" w:color="auto" w:fill="F2F2F2" w:themeFill="background1" w:themeFillShade="F2"/>
            <w:vAlign w:val="center"/>
          </w:tcPr>
          <w:p w14:paraId="6ADB62B7" w14:textId="77777777" w:rsidR="006E6FBE" w:rsidRPr="007C1FC8" w:rsidRDefault="006E6FBE" w:rsidP="00674CB1">
            <w:pPr>
              <w:jc w:val="left"/>
              <w:rPr>
                <w:sz w:val="18"/>
                <w:szCs w:val="18"/>
                <w:lang w:val="en-GB"/>
              </w:rPr>
            </w:pPr>
            <w:r w:rsidRPr="007C1FC8">
              <w:rPr>
                <w:sz w:val="18"/>
                <w:szCs w:val="18"/>
                <w:lang w:val="en-GB"/>
              </w:rPr>
              <w:t>Direct GHG emissions</w:t>
            </w:r>
          </w:p>
        </w:tc>
        <w:tc>
          <w:tcPr>
            <w:tcW w:w="1952" w:type="pct"/>
            <w:shd w:val="clear" w:color="auto" w:fill="F2F2F2" w:themeFill="background1" w:themeFillShade="F2"/>
            <w:vAlign w:val="center"/>
          </w:tcPr>
          <w:p w14:paraId="7D66EA95" w14:textId="77777777" w:rsidR="006E6FBE" w:rsidRPr="00982546" w:rsidRDefault="00610048" w:rsidP="00674CB1">
            <w:pPr>
              <w:jc w:val="left"/>
              <w:rPr>
                <w:sz w:val="18"/>
                <w:szCs w:val="18"/>
              </w:rPr>
            </w:pPr>
            <w:r w:rsidRPr="00982546">
              <w:rPr>
                <w:sz w:val="18"/>
                <w:szCs w:val="18"/>
              </w:rPr>
              <w:t>CO</w:t>
            </w:r>
            <w:r w:rsidRPr="00982546">
              <w:rPr>
                <w:sz w:val="18"/>
                <w:szCs w:val="18"/>
                <w:vertAlign w:val="subscript"/>
              </w:rPr>
              <w:t>2</w:t>
            </w:r>
            <w:r w:rsidRPr="00982546">
              <w:rPr>
                <w:sz w:val="18"/>
                <w:szCs w:val="18"/>
              </w:rPr>
              <w:t>-</w:t>
            </w:r>
            <w:r w:rsidR="00C97DD8">
              <w:rPr>
                <w:sz w:val="18"/>
                <w:szCs w:val="18"/>
              </w:rPr>
              <w:t>dashboard</w:t>
            </w:r>
            <w:r w:rsidRPr="00982546">
              <w:rPr>
                <w:sz w:val="18"/>
                <w:szCs w:val="18"/>
              </w:rPr>
              <w:t>, tabblad “CO</w:t>
            </w:r>
            <w:r w:rsidRPr="00982546">
              <w:rPr>
                <w:sz w:val="18"/>
                <w:szCs w:val="18"/>
                <w:vertAlign w:val="subscript"/>
              </w:rPr>
              <w:t>2</w:t>
            </w:r>
            <w:r w:rsidRPr="00982546">
              <w:rPr>
                <w:sz w:val="18"/>
                <w:szCs w:val="18"/>
              </w:rPr>
              <w:t>-em</w:t>
            </w:r>
            <w:r w:rsidR="004D1809" w:rsidRPr="00982546">
              <w:rPr>
                <w:sz w:val="18"/>
                <w:szCs w:val="18"/>
              </w:rPr>
              <w:t>issie-inventaris”, tota</w:t>
            </w:r>
            <w:r w:rsidR="001A3CA4" w:rsidRPr="00982546">
              <w:rPr>
                <w:sz w:val="18"/>
                <w:szCs w:val="18"/>
              </w:rPr>
              <w:t>a</w:t>
            </w:r>
            <w:r w:rsidR="004D1809" w:rsidRPr="00982546">
              <w:rPr>
                <w:sz w:val="18"/>
                <w:szCs w:val="18"/>
              </w:rPr>
              <w:t>l scope</w:t>
            </w:r>
            <w:r w:rsidR="001A3CA4" w:rsidRPr="00982546">
              <w:rPr>
                <w:sz w:val="18"/>
                <w:szCs w:val="18"/>
              </w:rPr>
              <w:t xml:space="preserve"> 1</w:t>
            </w:r>
            <w:r w:rsidR="00037A57" w:rsidRPr="00982546">
              <w:rPr>
                <w:sz w:val="18"/>
                <w:szCs w:val="18"/>
              </w:rPr>
              <w:t xml:space="preserve"> en</w:t>
            </w:r>
            <w:r w:rsidR="00982546">
              <w:rPr>
                <w:sz w:val="18"/>
                <w:szCs w:val="18"/>
              </w:rPr>
              <w:t xml:space="preserve"> Verslag</w:t>
            </w:r>
            <w:r w:rsidR="00037A57" w:rsidRPr="00982546">
              <w:rPr>
                <w:sz w:val="18"/>
                <w:szCs w:val="18"/>
              </w:rPr>
              <w:t xml:space="preserve">, </w:t>
            </w:r>
            <w:r w:rsidR="001D1B72" w:rsidRPr="001D1B72">
              <w:rPr>
                <w:rFonts w:eastAsia="SimSun"/>
                <w:bCs/>
                <w:caps/>
                <w:szCs w:val="20"/>
              </w:rPr>
              <w:t>§</w:t>
            </w:r>
            <w:r w:rsidR="00037A57" w:rsidRPr="00982546">
              <w:rPr>
                <w:sz w:val="18"/>
                <w:szCs w:val="18"/>
              </w:rPr>
              <w:t>5.</w:t>
            </w:r>
            <w:r w:rsidR="009558F7" w:rsidRPr="00982546">
              <w:rPr>
                <w:sz w:val="18"/>
                <w:szCs w:val="18"/>
              </w:rPr>
              <w:t>4.1</w:t>
            </w:r>
          </w:p>
        </w:tc>
      </w:tr>
      <w:tr w:rsidR="006E6FBE" w:rsidRPr="000D3F7B" w14:paraId="7C5E6131" w14:textId="77777777" w:rsidTr="005967C0">
        <w:trPr>
          <w:trHeight w:val="323"/>
        </w:trPr>
        <w:tc>
          <w:tcPr>
            <w:tcW w:w="697" w:type="pct"/>
            <w:shd w:val="clear" w:color="auto" w:fill="F2F2F2" w:themeFill="background1" w:themeFillShade="F2"/>
            <w:vAlign w:val="center"/>
          </w:tcPr>
          <w:p w14:paraId="3A13E25A" w14:textId="77777777" w:rsidR="006E6FBE" w:rsidRPr="00F37C18" w:rsidRDefault="006E6FBE" w:rsidP="005967C0">
            <w:pPr>
              <w:jc w:val="center"/>
              <w:rPr>
                <w:sz w:val="18"/>
                <w:szCs w:val="18"/>
              </w:rPr>
            </w:pPr>
            <w:r w:rsidRPr="00F37C18">
              <w:rPr>
                <w:sz w:val="18"/>
                <w:szCs w:val="18"/>
              </w:rPr>
              <w:t>G</w:t>
            </w:r>
          </w:p>
        </w:tc>
        <w:tc>
          <w:tcPr>
            <w:tcW w:w="2351" w:type="pct"/>
            <w:shd w:val="clear" w:color="auto" w:fill="F2F2F2" w:themeFill="background1" w:themeFillShade="F2"/>
            <w:vAlign w:val="center"/>
          </w:tcPr>
          <w:p w14:paraId="27DF78EE" w14:textId="77777777" w:rsidR="006E6FBE" w:rsidRPr="007C1FC8" w:rsidRDefault="00A11CB5" w:rsidP="00674CB1">
            <w:pPr>
              <w:jc w:val="left"/>
              <w:rPr>
                <w:sz w:val="18"/>
                <w:szCs w:val="18"/>
                <w:lang w:val="en-GB"/>
              </w:rPr>
            </w:pPr>
            <w:r>
              <w:rPr>
                <w:sz w:val="18"/>
                <w:szCs w:val="18"/>
                <w:lang w:val="en-GB"/>
              </w:rPr>
              <w:t xml:space="preserve">Treatment of biogenic </w:t>
            </w:r>
            <w:r w:rsidRPr="00A11CB5">
              <w:rPr>
                <w:sz w:val="18"/>
                <w:szCs w:val="18"/>
                <w:lang w:val="en-GB"/>
              </w:rPr>
              <w:t>CO</w:t>
            </w:r>
            <w:r w:rsidRPr="00A11CB5">
              <w:rPr>
                <w:sz w:val="18"/>
                <w:szCs w:val="18"/>
                <w:vertAlign w:val="subscript"/>
                <w:lang w:val="en-GB"/>
              </w:rPr>
              <w:t>2</w:t>
            </w:r>
            <w:r>
              <w:rPr>
                <w:sz w:val="18"/>
                <w:szCs w:val="18"/>
                <w:lang w:val="en-GB"/>
              </w:rPr>
              <w:t xml:space="preserve"> emissions and removals</w:t>
            </w:r>
          </w:p>
        </w:tc>
        <w:tc>
          <w:tcPr>
            <w:tcW w:w="1952" w:type="pct"/>
            <w:shd w:val="clear" w:color="auto" w:fill="F2F2F2" w:themeFill="background1" w:themeFillShade="F2"/>
            <w:vAlign w:val="center"/>
          </w:tcPr>
          <w:p w14:paraId="432EFAF5" w14:textId="77777777" w:rsidR="006E6FBE" w:rsidRPr="00F37C18" w:rsidRDefault="00982546" w:rsidP="00674CB1">
            <w:pPr>
              <w:jc w:val="left"/>
              <w:rPr>
                <w:sz w:val="18"/>
                <w:szCs w:val="18"/>
              </w:rPr>
            </w:pPr>
            <w:r>
              <w:rPr>
                <w:sz w:val="18"/>
                <w:szCs w:val="18"/>
              </w:rPr>
              <w:t>Verslag</w:t>
            </w:r>
            <w:r w:rsidR="001D7F90">
              <w:rPr>
                <w:sz w:val="18"/>
                <w:szCs w:val="18"/>
                <w:lang w:val="en-US"/>
              </w:rPr>
              <w:t xml:space="preserve">, </w:t>
            </w:r>
            <w:r w:rsidR="001D1B72" w:rsidRPr="001D1B72">
              <w:rPr>
                <w:rFonts w:eastAsia="SimSun"/>
                <w:bCs/>
                <w:caps/>
                <w:szCs w:val="20"/>
              </w:rPr>
              <w:t>§</w:t>
            </w:r>
            <w:r w:rsidR="001D7F90">
              <w:rPr>
                <w:sz w:val="18"/>
                <w:szCs w:val="18"/>
                <w:lang w:val="en-US"/>
              </w:rPr>
              <w:t>5.</w:t>
            </w:r>
            <w:r w:rsidR="003323D2">
              <w:rPr>
                <w:sz w:val="18"/>
                <w:szCs w:val="18"/>
                <w:lang w:val="en-US"/>
              </w:rPr>
              <w:t>5</w:t>
            </w:r>
          </w:p>
        </w:tc>
      </w:tr>
      <w:tr w:rsidR="006E6FBE" w:rsidRPr="000D3F7B" w14:paraId="185566ED" w14:textId="77777777" w:rsidTr="005967C0">
        <w:trPr>
          <w:trHeight w:val="337"/>
        </w:trPr>
        <w:tc>
          <w:tcPr>
            <w:tcW w:w="697" w:type="pct"/>
            <w:shd w:val="clear" w:color="auto" w:fill="F2F2F2" w:themeFill="background1" w:themeFillShade="F2"/>
            <w:vAlign w:val="center"/>
          </w:tcPr>
          <w:p w14:paraId="4BC38CFC" w14:textId="77777777" w:rsidR="006E6FBE" w:rsidRPr="00F37C18" w:rsidRDefault="006E6FBE" w:rsidP="005967C0">
            <w:pPr>
              <w:jc w:val="center"/>
              <w:rPr>
                <w:sz w:val="18"/>
                <w:szCs w:val="18"/>
              </w:rPr>
            </w:pPr>
            <w:r w:rsidRPr="00F37C18">
              <w:rPr>
                <w:sz w:val="18"/>
                <w:szCs w:val="18"/>
              </w:rPr>
              <w:t>H</w:t>
            </w:r>
          </w:p>
        </w:tc>
        <w:tc>
          <w:tcPr>
            <w:tcW w:w="2351" w:type="pct"/>
            <w:shd w:val="clear" w:color="auto" w:fill="F2F2F2" w:themeFill="background1" w:themeFillShade="F2"/>
            <w:vAlign w:val="center"/>
          </w:tcPr>
          <w:p w14:paraId="280486E0" w14:textId="77777777" w:rsidR="006E6FBE" w:rsidRPr="007C1FC8" w:rsidRDefault="006E6FBE" w:rsidP="00674CB1">
            <w:pPr>
              <w:jc w:val="left"/>
              <w:rPr>
                <w:sz w:val="18"/>
                <w:szCs w:val="18"/>
                <w:lang w:val="en-GB"/>
              </w:rPr>
            </w:pPr>
            <w:r w:rsidRPr="007C1FC8">
              <w:rPr>
                <w:sz w:val="18"/>
                <w:szCs w:val="18"/>
                <w:lang w:val="en-GB"/>
              </w:rPr>
              <w:t>GHG removals</w:t>
            </w:r>
          </w:p>
        </w:tc>
        <w:tc>
          <w:tcPr>
            <w:tcW w:w="1952" w:type="pct"/>
            <w:shd w:val="clear" w:color="auto" w:fill="F2F2F2" w:themeFill="background1" w:themeFillShade="F2"/>
            <w:vAlign w:val="center"/>
          </w:tcPr>
          <w:p w14:paraId="50B7055B" w14:textId="77777777" w:rsidR="006E6FBE" w:rsidRPr="00F37C18" w:rsidRDefault="00982546" w:rsidP="00674CB1">
            <w:pPr>
              <w:jc w:val="left"/>
              <w:rPr>
                <w:sz w:val="18"/>
                <w:szCs w:val="18"/>
              </w:rPr>
            </w:pPr>
            <w:r>
              <w:rPr>
                <w:sz w:val="18"/>
                <w:szCs w:val="18"/>
              </w:rPr>
              <w:t>Verslag</w:t>
            </w:r>
            <w:r w:rsidR="00515730">
              <w:rPr>
                <w:sz w:val="18"/>
                <w:szCs w:val="18"/>
                <w:lang w:val="en-US"/>
              </w:rPr>
              <w:t xml:space="preserve">, </w:t>
            </w:r>
            <w:r w:rsidR="001D1B72" w:rsidRPr="001D1B72">
              <w:rPr>
                <w:rFonts w:eastAsia="SimSun"/>
                <w:bCs/>
                <w:caps/>
                <w:szCs w:val="20"/>
              </w:rPr>
              <w:t>§</w:t>
            </w:r>
            <w:r w:rsidR="00515730">
              <w:rPr>
                <w:sz w:val="18"/>
                <w:szCs w:val="18"/>
                <w:lang w:val="en-US"/>
              </w:rPr>
              <w:t>5.</w:t>
            </w:r>
            <w:r w:rsidR="001D1B72">
              <w:rPr>
                <w:sz w:val="18"/>
                <w:szCs w:val="18"/>
                <w:lang w:val="en-US"/>
              </w:rPr>
              <w:t>5</w:t>
            </w:r>
          </w:p>
        </w:tc>
      </w:tr>
      <w:tr w:rsidR="006E6FBE" w:rsidRPr="000D3F7B" w14:paraId="35E96EB7" w14:textId="77777777" w:rsidTr="005967C0">
        <w:trPr>
          <w:trHeight w:val="337"/>
        </w:trPr>
        <w:tc>
          <w:tcPr>
            <w:tcW w:w="697" w:type="pct"/>
            <w:shd w:val="clear" w:color="auto" w:fill="F2F2F2" w:themeFill="background1" w:themeFillShade="F2"/>
            <w:vAlign w:val="center"/>
          </w:tcPr>
          <w:p w14:paraId="1F5A5709" w14:textId="77777777" w:rsidR="006E6FBE" w:rsidRPr="00F37C18" w:rsidRDefault="006E6FBE" w:rsidP="005967C0">
            <w:pPr>
              <w:jc w:val="center"/>
              <w:rPr>
                <w:sz w:val="18"/>
                <w:szCs w:val="18"/>
              </w:rPr>
            </w:pPr>
            <w:r w:rsidRPr="00F37C18">
              <w:rPr>
                <w:sz w:val="18"/>
                <w:szCs w:val="18"/>
              </w:rPr>
              <w:t>I</w:t>
            </w:r>
          </w:p>
        </w:tc>
        <w:tc>
          <w:tcPr>
            <w:tcW w:w="2351" w:type="pct"/>
            <w:shd w:val="clear" w:color="auto" w:fill="F2F2F2" w:themeFill="background1" w:themeFillShade="F2"/>
            <w:vAlign w:val="center"/>
          </w:tcPr>
          <w:p w14:paraId="67C9ABF0" w14:textId="77777777" w:rsidR="006E6FBE" w:rsidRPr="007C1FC8" w:rsidRDefault="006E6FBE" w:rsidP="00674CB1">
            <w:pPr>
              <w:jc w:val="left"/>
              <w:rPr>
                <w:sz w:val="18"/>
                <w:szCs w:val="18"/>
                <w:lang w:val="en-GB"/>
              </w:rPr>
            </w:pPr>
            <w:r w:rsidRPr="007C1FC8">
              <w:rPr>
                <w:sz w:val="18"/>
                <w:szCs w:val="18"/>
                <w:lang w:val="en-GB"/>
              </w:rPr>
              <w:t>Exclusion of sources or sinks</w:t>
            </w:r>
          </w:p>
        </w:tc>
        <w:tc>
          <w:tcPr>
            <w:tcW w:w="1952" w:type="pct"/>
            <w:shd w:val="clear" w:color="auto" w:fill="F2F2F2" w:themeFill="background1" w:themeFillShade="F2"/>
            <w:vAlign w:val="center"/>
          </w:tcPr>
          <w:p w14:paraId="3ED614D1" w14:textId="77777777" w:rsidR="006E6FBE" w:rsidRPr="00F37C18" w:rsidRDefault="00982546" w:rsidP="00674CB1">
            <w:pPr>
              <w:jc w:val="left"/>
              <w:rPr>
                <w:sz w:val="18"/>
                <w:szCs w:val="18"/>
              </w:rPr>
            </w:pPr>
            <w:r>
              <w:rPr>
                <w:sz w:val="18"/>
                <w:szCs w:val="18"/>
              </w:rPr>
              <w:t>Verslag</w:t>
            </w:r>
            <w:r w:rsidR="001D7F90">
              <w:rPr>
                <w:sz w:val="18"/>
                <w:szCs w:val="18"/>
                <w:lang w:val="en-US"/>
              </w:rPr>
              <w:t xml:space="preserve">, </w:t>
            </w:r>
            <w:r w:rsidR="001D1B72" w:rsidRPr="001D1B72">
              <w:rPr>
                <w:rFonts w:eastAsia="SimSun"/>
                <w:bCs/>
                <w:caps/>
                <w:szCs w:val="20"/>
              </w:rPr>
              <w:t>§</w:t>
            </w:r>
            <w:r w:rsidR="001D7F90">
              <w:rPr>
                <w:sz w:val="18"/>
                <w:szCs w:val="18"/>
                <w:lang w:val="en-US"/>
              </w:rPr>
              <w:t>5.</w:t>
            </w:r>
            <w:r w:rsidR="001D1B72">
              <w:rPr>
                <w:sz w:val="18"/>
                <w:szCs w:val="18"/>
                <w:lang w:val="en-US"/>
              </w:rPr>
              <w:t>4.</w:t>
            </w:r>
            <w:r w:rsidR="00EE7E62">
              <w:rPr>
                <w:sz w:val="18"/>
                <w:szCs w:val="18"/>
                <w:lang w:val="en-US"/>
              </w:rPr>
              <w:t>2</w:t>
            </w:r>
          </w:p>
        </w:tc>
      </w:tr>
      <w:tr w:rsidR="0058518D" w:rsidRPr="00137824" w14:paraId="6D94A28C" w14:textId="77777777" w:rsidTr="005967C0">
        <w:trPr>
          <w:trHeight w:val="323"/>
        </w:trPr>
        <w:tc>
          <w:tcPr>
            <w:tcW w:w="697" w:type="pct"/>
            <w:shd w:val="clear" w:color="auto" w:fill="F2F2F2" w:themeFill="background1" w:themeFillShade="F2"/>
            <w:vAlign w:val="center"/>
          </w:tcPr>
          <w:p w14:paraId="574945AF" w14:textId="77777777" w:rsidR="0058518D" w:rsidRPr="00F37C18" w:rsidRDefault="0058518D" w:rsidP="0058518D">
            <w:pPr>
              <w:jc w:val="center"/>
              <w:rPr>
                <w:sz w:val="18"/>
                <w:szCs w:val="18"/>
              </w:rPr>
            </w:pPr>
            <w:r w:rsidRPr="00F37C18">
              <w:rPr>
                <w:sz w:val="18"/>
                <w:szCs w:val="18"/>
              </w:rPr>
              <w:t>J</w:t>
            </w:r>
          </w:p>
        </w:tc>
        <w:tc>
          <w:tcPr>
            <w:tcW w:w="2351" w:type="pct"/>
            <w:shd w:val="clear" w:color="auto" w:fill="F2F2F2" w:themeFill="background1" w:themeFillShade="F2"/>
            <w:vAlign w:val="center"/>
          </w:tcPr>
          <w:p w14:paraId="3103374C" w14:textId="77777777" w:rsidR="0058518D" w:rsidRPr="007C1FC8" w:rsidRDefault="0058518D" w:rsidP="0058518D">
            <w:pPr>
              <w:jc w:val="left"/>
              <w:rPr>
                <w:sz w:val="18"/>
                <w:szCs w:val="18"/>
                <w:lang w:val="en-GB"/>
              </w:rPr>
            </w:pPr>
            <w:r w:rsidRPr="007C1FC8">
              <w:rPr>
                <w:sz w:val="18"/>
                <w:szCs w:val="18"/>
                <w:lang w:val="en-GB"/>
              </w:rPr>
              <w:t>Indirect GHG emissions</w:t>
            </w:r>
          </w:p>
        </w:tc>
        <w:tc>
          <w:tcPr>
            <w:tcW w:w="1952" w:type="pct"/>
            <w:shd w:val="clear" w:color="auto" w:fill="F2F2F2" w:themeFill="background1" w:themeFillShade="F2"/>
            <w:vAlign w:val="center"/>
          </w:tcPr>
          <w:p w14:paraId="636D2796" w14:textId="77777777" w:rsidR="0058518D" w:rsidRPr="00010583" w:rsidRDefault="0058518D" w:rsidP="0058518D">
            <w:pPr>
              <w:jc w:val="left"/>
              <w:rPr>
                <w:sz w:val="18"/>
                <w:szCs w:val="18"/>
              </w:rPr>
            </w:pPr>
            <w:r w:rsidRPr="00010583">
              <w:rPr>
                <w:sz w:val="18"/>
                <w:szCs w:val="18"/>
              </w:rPr>
              <w:t>CO</w:t>
            </w:r>
            <w:r w:rsidRPr="00010583">
              <w:rPr>
                <w:sz w:val="18"/>
                <w:szCs w:val="18"/>
                <w:vertAlign w:val="subscript"/>
              </w:rPr>
              <w:t>2</w:t>
            </w:r>
            <w:r w:rsidRPr="00010583">
              <w:rPr>
                <w:sz w:val="18"/>
                <w:szCs w:val="18"/>
              </w:rPr>
              <w:t>-dashboard, tabblad “CO</w:t>
            </w:r>
            <w:r w:rsidRPr="00010583">
              <w:rPr>
                <w:sz w:val="18"/>
                <w:szCs w:val="18"/>
                <w:vertAlign w:val="subscript"/>
              </w:rPr>
              <w:t>2</w:t>
            </w:r>
            <w:r w:rsidRPr="00010583">
              <w:rPr>
                <w:sz w:val="18"/>
                <w:szCs w:val="18"/>
              </w:rPr>
              <w:t xml:space="preserve">-emissie-inventaris”, totaal scope 2 en business </w:t>
            </w:r>
            <w:proofErr w:type="spellStart"/>
            <w:r w:rsidRPr="00010583">
              <w:rPr>
                <w:sz w:val="18"/>
                <w:szCs w:val="18"/>
              </w:rPr>
              <w:t>travel</w:t>
            </w:r>
            <w:proofErr w:type="spellEnd"/>
            <w:r w:rsidRPr="00010583">
              <w:rPr>
                <w:sz w:val="18"/>
                <w:szCs w:val="18"/>
              </w:rPr>
              <w:t xml:space="preserve"> &amp; Scope 3 – kwalitatieve en kwantitatieve analyse, tabblad “Kwantitatieve analyse”, en Verslag, </w:t>
            </w:r>
            <w:r w:rsidRPr="00010583">
              <w:rPr>
                <w:rFonts w:eastAsia="SimSun"/>
                <w:caps/>
                <w:szCs w:val="20"/>
              </w:rPr>
              <w:t>§</w:t>
            </w:r>
            <w:r w:rsidRPr="00010583">
              <w:rPr>
                <w:sz w:val="18"/>
                <w:szCs w:val="18"/>
              </w:rPr>
              <w:t>5.4.1</w:t>
            </w:r>
          </w:p>
        </w:tc>
      </w:tr>
      <w:tr w:rsidR="006E6FBE" w:rsidRPr="000D3F7B" w14:paraId="0E39BD65" w14:textId="77777777" w:rsidTr="005967C0">
        <w:trPr>
          <w:trHeight w:val="337"/>
        </w:trPr>
        <w:tc>
          <w:tcPr>
            <w:tcW w:w="697" w:type="pct"/>
            <w:shd w:val="clear" w:color="auto" w:fill="F2F2F2" w:themeFill="background1" w:themeFillShade="F2"/>
            <w:vAlign w:val="center"/>
          </w:tcPr>
          <w:p w14:paraId="7A2CB4C4" w14:textId="77777777" w:rsidR="006E6FBE" w:rsidRPr="00F37C18" w:rsidRDefault="006E6FBE" w:rsidP="005967C0">
            <w:pPr>
              <w:jc w:val="center"/>
              <w:rPr>
                <w:sz w:val="18"/>
                <w:szCs w:val="18"/>
              </w:rPr>
            </w:pPr>
            <w:r w:rsidRPr="00F37C18">
              <w:rPr>
                <w:sz w:val="18"/>
                <w:szCs w:val="18"/>
              </w:rPr>
              <w:t>K</w:t>
            </w:r>
          </w:p>
        </w:tc>
        <w:tc>
          <w:tcPr>
            <w:tcW w:w="2351" w:type="pct"/>
            <w:shd w:val="clear" w:color="auto" w:fill="F2F2F2" w:themeFill="background1" w:themeFillShade="F2"/>
            <w:vAlign w:val="center"/>
          </w:tcPr>
          <w:p w14:paraId="201FB03A" w14:textId="77777777" w:rsidR="006E6FBE" w:rsidRPr="007C1FC8" w:rsidRDefault="006E6FBE" w:rsidP="00674CB1">
            <w:pPr>
              <w:jc w:val="left"/>
              <w:rPr>
                <w:sz w:val="18"/>
                <w:szCs w:val="18"/>
                <w:lang w:val="en-GB"/>
              </w:rPr>
            </w:pPr>
            <w:r w:rsidRPr="007C1FC8">
              <w:rPr>
                <w:sz w:val="18"/>
                <w:szCs w:val="18"/>
                <w:lang w:val="en-GB"/>
              </w:rPr>
              <w:t>Base year</w:t>
            </w:r>
          </w:p>
        </w:tc>
        <w:tc>
          <w:tcPr>
            <w:tcW w:w="1952" w:type="pct"/>
            <w:shd w:val="clear" w:color="auto" w:fill="F2F2F2" w:themeFill="background1" w:themeFillShade="F2"/>
            <w:vAlign w:val="center"/>
          </w:tcPr>
          <w:p w14:paraId="7AB85FA2" w14:textId="77777777" w:rsidR="006E6FBE" w:rsidRPr="00F37C18" w:rsidRDefault="00982546" w:rsidP="00674CB1">
            <w:pPr>
              <w:jc w:val="left"/>
              <w:rPr>
                <w:sz w:val="18"/>
                <w:szCs w:val="18"/>
              </w:rPr>
            </w:pPr>
            <w:r>
              <w:rPr>
                <w:sz w:val="18"/>
                <w:szCs w:val="18"/>
              </w:rPr>
              <w:t>Verslag</w:t>
            </w:r>
            <w:r w:rsidR="00FC1289">
              <w:rPr>
                <w:sz w:val="18"/>
                <w:szCs w:val="18"/>
              </w:rPr>
              <w:t xml:space="preserve">, </w:t>
            </w:r>
            <w:r w:rsidR="001D1B72" w:rsidRPr="001D1B72">
              <w:rPr>
                <w:rFonts w:eastAsia="SimSun"/>
                <w:bCs/>
                <w:caps/>
                <w:szCs w:val="20"/>
              </w:rPr>
              <w:t>§</w:t>
            </w:r>
            <w:r w:rsidR="00FC1289">
              <w:rPr>
                <w:sz w:val="18"/>
                <w:szCs w:val="18"/>
              </w:rPr>
              <w:t>5.</w:t>
            </w:r>
            <w:r w:rsidR="001D1B72">
              <w:rPr>
                <w:sz w:val="18"/>
                <w:szCs w:val="18"/>
              </w:rPr>
              <w:t>2</w:t>
            </w:r>
          </w:p>
        </w:tc>
      </w:tr>
      <w:tr w:rsidR="006E6FBE" w:rsidRPr="000D3F7B" w14:paraId="3CF8592C" w14:textId="77777777" w:rsidTr="005967C0">
        <w:trPr>
          <w:trHeight w:val="337"/>
        </w:trPr>
        <w:tc>
          <w:tcPr>
            <w:tcW w:w="697" w:type="pct"/>
            <w:shd w:val="clear" w:color="auto" w:fill="F2F2F2" w:themeFill="background1" w:themeFillShade="F2"/>
            <w:vAlign w:val="center"/>
          </w:tcPr>
          <w:p w14:paraId="582382C3" w14:textId="77777777" w:rsidR="006E6FBE" w:rsidRPr="00F37C18" w:rsidRDefault="006E6FBE" w:rsidP="005967C0">
            <w:pPr>
              <w:jc w:val="center"/>
              <w:rPr>
                <w:sz w:val="18"/>
                <w:szCs w:val="18"/>
              </w:rPr>
            </w:pPr>
            <w:r w:rsidRPr="00F37C18">
              <w:rPr>
                <w:sz w:val="18"/>
                <w:szCs w:val="18"/>
              </w:rPr>
              <w:t>L</w:t>
            </w:r>
          </w:p>
        </w:tc>
        <w:tc>
          <w:tcPr>
            <w:tcW w:w="2351" w:type="pct"/>
            <w:shd w:val="clear" w:color="auto" w:fill="F2F2F2" w:themeFill="background1" w:themeFillShade="F2"/>
            <w:vAlign w:val="center"/>
          </w:tcPr>
          <w:p w14:paraId="655C6015" w14:textId="77777777" w:rsidR="006E6FBE" w:rsidRPr="007C1FC8" w:rsidRDefault="006E6FBE" w:rsidP="00674CB1">
            <w:pPr>
              <w:jc w:val="left"/>
              <w:rPr>
                <w:sz w:val="18"/>
                <w:szCs w:val="18"/>
                <w:lang w:val="en-GB"/>
              </w:rPr>
            </w:pPr>
            <w:r w:rsidRPr="007C1FC8">
              <w:rPr>
                <w:sz w:val="18"/>
                <w:szCs w:val="18"/>
                <w:lang w:val="en-GB"/>
              </w:rPr>
              <w:t xml:space="preserve">Changes </w:t>
            </w:r>
            <w:r w:rsidR="00D80A34">
              <w:rPr>
                <w:sz w:val="18"/>
                <w:szCs w:val="18"/>
                <w:lang w:val="en-GB"/>
              </w:rPr>
              <w:t>and</w:t>
            </w:r>
            <w:r w:rsidRPr="007C1FC8">
              <w:rPr>
                <w:sz w:val="18"/>
                <w:szCs w:val="18"/>
                <w:lang w:val="en-GB"/>
              </w:rPr>
              <w:t xml:space="preserve"> recalculations </w:t>
            </w:r>
          </w:p>
        </w:tc>
        <w:tc>
          <w:tcPr>
            <w:tcW w:w="1952" w:type="pct"/>
            <w:shd w:val="clear" w:color="auto" w:fill="F2F2F2" w:themeFill="background1" w:themeFillShade="F2"/>
            <w:vAlign w:val="center"/>
          </w:tcPr>
          <w:p w14:paraId="23DEFF64" w14:textId="77777777" w:rsidR="006E6FBE" w:rsidRPr="00F37C18" w:rsidRDefault="00982546" w:rsidP="00674CB1">
            <w:pPr>
              <w:jc w:val="left"/>
              <w:rPr>
                <w:sz w:val="18"/>
                <w:szCs w:val="18"/>
              </w:rPr>
            </w:pPr>
            <w:r>
              <w:rPr>
                <w:sz w:val="18"/>
                <w:szCs w:val="18"/>
              </w:rPr>
              <w:t>Verslag</w:t>
            </w:r>
            <w:r w:rsidR="00DA2EA1">
              <w:rPr>
                <w:sz w:val="18"/>
                <w:szCs w:val="18"/>
              </w:rPr>
              <w:t xml:space="preserve">, </w:t>
            </w:r>
            <w:r w:rsidR="001D1B72" w:rsidRPr="001D1B72">
              <w:rPr>
                <w:rFonts w:eastAsia="SimSun"/>
                <w:bCs/>
                <w:caps/>
                <w:szCs w:val="20"/>
              </w:rPr>
              <w:t>§</w:t>
            </w:r>
            <w:r w:rsidR="00DA2EA1">
              <w:rPr>
                <w:sz w:val="18"/>
                <w:szCs w:val="18"/>
              </w:rPr>
              <w:t>5.</w:t>
            </w:r>
            <w:r w:rsidR="001D1B72">
              <w:rPr>
                <w:sz w:val="18"/>
                <w:szCs w:val="18"/>
              </w:rPr>
              <w:t>2</w:t>
            </w:r>
            <w:r w:rsidR="00DA2EA1">
              <w:rPr>
                <w:sz w:val="18"/>
                <w:szCs w:val="18"/>
              </w:rPr>
              <w:t>.1</w:t>
            </w:r>
          </w:p>
        </w:tc>
      </w:tr>
      <w:tr w:rsidR="006E6FBE" w:rsidRPr="000D3F7B" w14:paraId="14884D52" w14:textId="77777777" w:rsidTr="005967C0">
        <w:trPr>
          <w:trHeight w:val="323"/>
        </w:trPr>
        <w:tc>
          <w:tcPr>
            <w:tcW w:w="697" w:type="pct"/>
            <w:shd w:val="clear" w:color="auto" w:fill="F2F2F2" w:themeFill="background1" w:themeFillShade="F2"/>
            <w:vAlign w:val="center"/>
          </w:tcPr>
          <w:p w14:paraId="1E81CF84" w14:textId="77777777" w:rsidR="006E6FBE" w:rsidRPr="00F37C18" w:rsidRDefault="006E6FBE" w:rsidP="005967C0">
            <w:pPr>
              <w:jc w:val="center"/>
              <w:rPr>
                <w:sz w:val="18"/>
                <w:szCs w:val="18"/>
              </w:rPr>
            </w:pPr>
            <w:r w:rsidRPr="00F37C18">
              <w:rPr>
                <w:sz w:val="18"/>
                <w:szCs w:val="18"/>
              </w:rPr>
              <w:t>M</w:t>
            </w:r>
          </w:p>
        </w:tc>
        <w:tc>
          <w:tcPr>
            <w:tcW w:w="2351" w:type="pct"/>
            <w:shd w:val="clear" w:color="auto" w:fill="F2F2F2" w:themeFill="background1" w:themeFillShade="F2"/>
            <w:vAlign w:val="center"/>
          </w:tcPr>
          <w:p w14:paraId="7502CF52" w14:textId="77777777" w:rsidR="006E6FBE" w:rsidRPr="007C1FC8" w:rsidRDefault="0024597E" w:rsidP="00674CB1">
            <w:pPr>
              <w:jc w:val="left"/>
              <w:rPr>
                <w:sz w:val="18"/>
                <w:szCs w:val="18"/>
                <w:lang w:val="en-GB"/>
              </w:rPr>
            </w:pPr>
            <w:r>
              <w:rPr>
                <w:sz w:val="18"/>
                <w:szCs w:val="18"/>
                <w:lang w:val="en-GB"/>
              </w:rPr>
              <w:t>Quantification approaches</w:t>
            </w:r>
          </w:p>
        </w:tc>
        <w:tc>
          <w:tcPr>
            <w:tcW w:w="1952" w:type="pct"/>
            <w:shd w:val="clear" w:color="auto" w:fill="F2F2F2" w:themeFill="background1" w:themeFillShade="F2"/>
            <w:vAlign w:val="center"/>
          </w:tcPr>
          <w:p w14:paraId="07D86ADD" w14:textId="77777777" w:rsidR="006E6FBE" w:rsidRPr="00F37C18" w:rsidRDefault="00982546" w:rsidP="00674CB1">
            <w:pPr>
              <w:jc w:val="left"/>
              <w:rPr>
                <w:sz w:val="18"/>
                <w:szCs w:val="18"/>
              </w:rPr>
            </w:pPr>
            <w:r>
              <w:rPr>
                <w:sz w:val="18"/>
                <w:szCs w:val="18"/>
              </w:rPr>
              <w:t>Verslag</w:t>
            </w:r>
            <w:r w:rsidR="00981444">
              <w:rPr>
                <w:sz w:val="18"/>
                <w:szCs w:val="18"/>
                <w:lang w:val="en-US"/>
              </w:rPr>
              <w:t xml:space="preserve">, </w:t>
            </w:r>
            <w:r w:rsidR="001D1B72" w:rsidRPr="001D1B72">
              <w:rPr>
                <w:rFonts w:eastAsia="SimSun"/>
                <w:bCs/>
                <w:caps/>
                <w:szCs w:val="20"/>
              </w:rPr>
              <w:t>§</w:t>
            </w:r>
            <w:r w:rsidR="00981444">
              <w:rPr>
                <w:sz w:val="18"/>
                <w:szCs w:val="18"/>
                <w:lang w:val="en-US"/>
              </w:rPr>
              <w:t>5.</w:t>
            </w:r>
            <w:r w:rsidR="001D1B72">
              <w:rPr>
                <w:sz w:val="18"/>
                <w:szCs w:val="18"/>
                <w:lang w:val="en-US"/>
              </w:rPr>
              <w:t>3</w:t>
            </w:r>
          </w:p>
        </w:tc>
      </w:tr>
      <w:tr w:rsidR="006E6FBE" w:rsidRPr="000D3F7B" w14:paraId="252BCC2A" w14:textId="77777777" w:rsidTr="005967C0">
        <w:trPr>
          <w:trHeight w:val="337"/>
        </w:trPr>
        <w:tc>
          <w:tcPr>
            <w:tcW w:w="697" w:type="pct"/>
            <w:shd w:val="clear" w:color="auto" w:fill="F2F2F2" w:themeFill="background1" w:themeFillShade="F2"/>
            <w:vAlign w:val="center"/>
          </w:tcPr>
          <w:p w14:paraId="4C0AFCA2" w14:textId="77777777" w:rsidR="006E6FBE" w:rsidRPr="00F37C18" w:rsidRDefault="006E6FBE" w:rsidP="005967C0">
            <w:pPr>
              <w:jc w:val="center"/>
              <w:rPr>
                <w:sz w:val="18"/>
                <w:szCs w:val="18"/>
              </w:rPr>
            </w:pPr>
            <w:r w:rsidRPr="00F37C18">
              <w:rPr>
                <w:sz w:val="18"/>
                <w:szCs w:val="18"/>
              </w:rPr>
              <w:t>N</w:t>
            </w:r>
          </w:p>
        </w:tc>
        <w:tc>
          <w:tcPr>
            <w:tcW w:w="2351" w:type="pct"/>
            <w:shd w:val="clear" w:color="auto" w:fill="F2F2F2" w:themeFill="background1" w:themeFillShade="F2"/>
            <w:vAlign w:val="center"/>
          </w:tcPr>
          <w:p w14:paraId="5C8AB561" w14:textId="77777777" w:rsidR="006E6FBE" w:rsidRPr="007C1FC8" w:rsidRDefault="006E6FBE" w:rsidP="00674CB1">
            <w:pPr>
              <w:jc w:val="left"/>
              <w:rPr>
                <w:sz w:val="18"/>
                <w:szCs w:val="18"/>
                <w:lang w:val="en-GB"/>
              </w:rPr>
            </w:pPr>
            <w:r w:rsidRPr="007C1FC8">
              <w:rPr>
                <w:sz w:val="18"/>
                <w:szCs w:val="18"/>
                <w:lang w:val="en-GB"/>
              </w:rPr>
              <w:t>Changes to methodologies</w:t>
            </w:r>
          </w:p>
        </w:tc>
        <w:tc>
          <w:tcPr>
            <w:tcW w:w="1952" w:type="pct"/>
            <w:shd w:val="clear" w:color="auto" w:fill="F2F2F2" w:themeFill="background1" w:themeFillShade="F2"/>
            <w:vAlign w:val="center"/>
          </w:tcPr>
          <w:p w14:paraId="505D44F8" w14:textId="77777777" w:rsidR="006E6FBE" w:rsidRPr="00F37C18" w:rsidRDefault="00982546" w:rsidP="00674CB1">
            <w:pPr>
              <w:jc w:val="left"/>
              <w:rPr>
                <w:sz w:val="18"/>
                <w:szCs w:val="18"/>
              </w:rPr>
            </w:pPr>
            <w:r>
              <w:rPr>
                <w:sz w:val="18"/>
                <w:szCs w:val="18"/>
              </w:rPr>
              <w:t>Verslag</w:t>
            </w:r>
            <w:r w:rsidR="00981444">
              <w:rPr>
                <w:sz w:val="18"/>
                <w:szCs w:val="18"/>
                <w:lang w:val="en-US"/>
              </w:rPr>
              <w:t xml:space="preserve">, </w:t>
            </w:r>
            <w:r w:rsidR="001D1B72" w:rsidRPr="001D1B72">
              <w:rPr>
                <w:rFonts w:eastAsia="SimSun"/>
                <w:bCs/>
                <w:caps/>
                <w:szCs w:val="20"/>
              </w:rPr>
              <w:t>§</w:t>
            </w:r>
            <w:r w:rsidR="00981444">
              <w:rPr>
                <w:sz w:val="18"/>
                <w:szCs w:val="18"/>
                <w:lang w:val="en-US"/>
              </w:rPr>
              <w:t>5.</w:t>
            </w:r>
            <w:r w:rsidR="001D1B72">
              <w:rPr>
                <w:sz w:val="18"/>
                <w:szCs w:val="18"/>
                <w:lang w:val="en-US"/>
              </w:rPr>
              <w:t>3</w:t>
            </w:r>
            <w:r w:rsidR="00981444">
              <w:rPr>
                <w:sz w:val="18"/>
                <w:szCs w:val="18"/>
                <w:lang w:val="en-US"/>
              </w:rPr>
              <w:t>.1</w:t>
            </w:r>
          </w:p>
        </w:tc>
      </w:tr>
      <w:tr w:rsidR="006E6FBE" w:rsidRPr="000D3F7B" w14:paraId="6B09C772" w14:textId="77777777" w:rsidTr="005967C0">
        <w:trPr>
          <w:trHeight w:val="337"/>
        </w:trPr>
        <w:tc>
          <w:tcPr>
            <w:tcW w:w="697" w:type="pct"/>
            <w:shd w:val="clear" w:color="auto" w:fill="F2F2F2" w:themeFill="background1" w:themeFillShade="F2"/>
            <w:vAlign w:val="center"/>
          </w:tcPr>
          <w:p w14:paraId="1C443A95" w14:textId="77777777" w:rsidR="006E6FBE" w:rsidRPr="00F37C18" w:rsidRDefault="006E6FBE" w:rsidP="005967C0">
            <w:pPr>
              <w:jc w:val="center"/>
              <w:rPr>
                <w:sz w:val="18"/>
                <w:szCs w:val="18"/>
              </w:rPr>
            </w:pPr>
            <w:r w:rsidRPr="00F37C18">
              <w:rPr>
                <w:sz w:val="18"/>
                <w:szCs w:val="18"/>
              </w:rPr>
              <w:t>O</w:t>
            </w:r>
            <w:r>
              <w:rPr>
                <w:sz w:val="18"/>
                <w:szCs w:val="18"/>
              </w:rPr>
              <w:t>, T</w:t>
            </w:r>
          </w:p>
        </w:tc>
        <w:tc>
          <w:tcPr>
            <w:tcW w:w="2351" w:type="pct"/>
            <w:shd w:val="clear" w:color="auto" w:fill="F2F2F2" w:themeFill="background1" w:themeFillShade="F2"/>
            <w:vAlign w:val="center"/>
          </w:tcPr>
          <w:p w14:paraId="00881902" w14:textId="77777777" w:rsidR="006E6FBE" w:rsidRPr="007C1FC8" w:rsidRDefault="006E6FBE" w:rsidP="00674CB1">
            <w:pPr>
              <w:jc w:val="left"/>
              <w:rPr>
                <w:sz w:val="18"/>
                <w:szCs w:val="18"/>
                <w:lang w:val="en-GB"/>
              </w:rPr>
            </w:pPr>
            <w:r w:rsidRPr="007C1FC8">
              <w:rPr>
                <w:sz w:val="18"/>
                <w:szCs w:val="18"/>
                <w:lang w:val="en-GB"/>
              </w:rPr>
              <w:t>Emission or removal factors used</w:t>
            </w:r>
          </w:p>
        </w:tc>
        <w:tc>
          <w:tcPr>
            <w:tcW w:w="1952" w:type="pct"/>
            <w:shd w:val="clear" w:color="auto" w:fill="F2F2F2" w:themeFill="background1" w:themeFillShade="F2"/>
            <w:vAlign w:val="center"/>
          </w:tcPr>
          <w:p w14:paraId="00342205" w14:textId="77777777" w:rsidR="006E6FBE" w:rsidRPr="00F37C18" w:rsidRDefault="00982546" w:rsidP="00674CB1">
            <w:pPr>
              <w:jc w:val="left"/>
              <w:rPr>
                <w:sz w:val="18"/>
                <w:szCs w:val="18"/>
              </w:rPr>
            </w:pPr>
            <w:r>
              <w:rPr>
                <w:sz w:val="18"/>
                <w:szCs w:val="18"/>
              </w:rPr>
              <w:t>Verslag</w:t>
            </w:r>
            <w:r w:rsidR="00981444">
              <w:rPr>
                <w:sz w:val="18"/>
                <w:szCs w:val="18"/>
                <w:lang w:val="en-US"/>
              </w:rPr>
              <w:t xml:space="preserve">, </w:t>
            </w:r>
            <w:r w:rsidR="001D1B72" w:rsidRPr="001D1B72">
              <w:rPr>
                <w:rFonts w:eastAsia="SimSun"/>
                <w:bCs/>
                <w:caps/>
                <w:szCs w:val="20"/>
              </w:rPr>
              <w:t>§</w:t>
            </w:r>
            <w:r w:rsidR="00981444">
              <w:rPr>
                <w:sz w:val="18"/>
                <w:szCs w:val="18"/>
                <w:lang w:val="en-US"/>
              </w:rPr>
              <w:t>5.</w:t>
            </w:r>
            <w:r w:rsidR="001D1B72">
              <w:rPr>
                <w:sz w:val="18"/>
                <w:szCs w:val="18"/>
                <w:lang w:val="en-US"/>
              </w:rPr>
              <w:t>3</w:t>
            </w:r>
          </w:p>
        </w:tc>
      </w:tr>
      <w:tr w:rsidR="006E6FBE" w:rsidRPr="000D3F7B" w14:paraId="467DC864" w14:textId="77777777" w:rsidTr="005967C0">
        <w:trPr>
          <w:trHeight w:val="323"/>
        </w:trPr>
        <w:tc>
          <w:tcPr>
            <w:tcW w:w="697" w:type="pct"/>
            <w:shd w:val="clear" w:color="auto" w:fill="F2F2F2" w:themeFill="background1" w:themeFillShade="F2"/>
            <w:vAlign w:val="center"/>
          </w:tcPr>
          <w:p w14:paraId="71355D81" w14:textId="77777777" w:rsidR="006E6FBE" w:rsidRPr="00F37C18" w:rsidRDefault="006E6FBE" w:rsidP="005967C0">
            <w:pPr>
              <w:jc w:val="center"/>
              <w:rPr>
                <w:sz w:val="18"/>
                <w:szCs w:val="18"/>
              </w:rPr>
            </w:pPr>
            <w:r w:rsidRPr="00F37C18">
              <w:rPr>
                <w:sz w:val="18"/>
                <w:szCs w:val="18"/>
              </w:rPr>
              <w:t>P, Q</w:t>
            </w:r>
          </w:p>
        </w:tc>
        <w:tc>
          <w:tcPr>
            <w:tcW w:w="2351" w:type="pct"/>
            <w:shd w:val="clear" w:color="auto" w:fill="F2F2F2" w:themeFill="background1" w:themeFillShade="F2"/>
            <w:vAlign w:val="center"/>
          </w:tcPr>
          <w:p w14:paraId="27510065" w14:textId="77777777" w:rsidR="006E6FBE" w:rsidRPr="007C1FC8" w:rsidRDefault="006E6FBE" w:rsidP="00674CB1">
            <w:pPr>
              <w:jc w:val="left"/>
              <w:rPr>
                <w:sz w:val="18"/>
                <w:szCs w:val="18"/>
                <w:lang w:val="en-GB"/>
              </w:rPr>
            </w:pPr>
            <w:r w:rsidRPr="007C1FC8">
              <w:rPr>
                <w:sz w:val="18"/>
                <w:szCs w:val="18"/>
                <w:lang w:val="en-GB"/>
              </w:rPr>
              <w:t>Uncertainties</w:t>
            </w:r>
          </w:p>
        </w:tc>
        <w:tc>
          <w:tcPr>
            <w:tcW w:w="1952" w:type="pct"/>
            <w:shd w:val="clear" w:color="auto" w:fill="F2F2F2" w:themeFill="background1" w:themeFillShade="F2"/>
            <w:vAlign w:val="center"/>
          </w:tcPr>
          <w:p w14:paraId="6988F722" w14:textId="77777777" w:rsidR="006E6FBE" w:rsidRPr="00F37C18" w:rsidRDefault="00B34761" w:rsidP="00674CB1">
            <w:pPr>
              <w:jc w:val="left"/>
              <w:rPr>
                <w:sz w:val="18"/>
                <w:szCs w:val="18"/>
              </w:rPr>
            </w:pPr>
            <w:r>
              <w:rPr>
                <w:sz w:val="18"/>
                <w:szCs w:val="18"/>
              </w:rPr>
              <w:t>Acties, planning en verantwoordelijkheden, tabblad “dataverzameling”</w:t>
            </w:r>
            <w:r w:rsidR="00251E51">
              <w:rPr>
                <w:sz w:val="18"/>
                <w:szCs w:val="18"/>
              </w:rPr>
              <w:t xml:space="preserve">, en </w:t>
            </w:r>
            <w:r w:rsidR="00982546">
              <w:rPr>
                <w:sz w:val="18"/>
                <w:szCs w:val="18"/>
              </w:rPr>
              <w:t>Verslag</w:t>
            </w:r>
            <w:r w:rsidR="001D1B72" w:rsidRPr="00B34761">
              <w:rPr>
                <w:sz w:val="18"/>
                <w:szCs w:val="18"/>
              </w:rPr>
              <w:t xml:space="preserve">, </w:t>
            </w:r>
            <w:r w:rsidR="001D1B72" w:rsidRPr="001D1B72">
              <w:rPr>
                <w:rFonts w:eastAsia="SimSun"/>
                <w:bCs/>
                <w:caps/>
                <w:szCs w:val="20"/>
              </w:rPr>
              <w:t>§</w:t>
            </w:r>
            <w:r w:rsidR="001D1B72" w:rsidRPr="00B34761">
              <w:rPr>
                <w:sz w:val="18"/>
                <w:szCs w:val="18"/>
              </w:rPr>
              <w:t>5.6</w:t>
            </w:r>
          </w:p>
        </w:tc>
      </w:tr>
      <w:tr w:rsidR="006E6FBE" w:rsidRPr="000D3F7B" w14:paraId="7A4ECDA5" w14:textId="77777777" w:rsidTr="005967C0">
        <w:trPr>
          <w:trHeight w:val="77"/>
        </w:trPr>
        <w:tc>
          <w:tcPr>
            <w:tcW w:w="697" w:type="pct"/>
            <w:shd w:val="clear" w:color="auto" w:fill="F2F2F2" w:themeFill="background1" w:themeFillShade="F2"/>
            <w:vAlign w:val="center"/>
          </w:tcPr>
          <w:p w14:paraId="627D7387" w14:textId="77777777" w:rsidR="006E6FBE" w:rsidRPr="00F37C18" w:rsidRDefault="006E6FBE" w:rsidP="005967C0">
            <w:pPr>
              <w:jc w:val="center"/>
              <w:rPr>
                <w:sz w:val="18"/>
                <w:szCs w:val="18"/>
              </w:rPr>
            </w:pPr>
            <w:r w:rsidRPr="00F37C18">
              <w:rPr>
                <w:sz w:val="18"/>
                <w:szCs w:val="18"/>
              </w:rPr>
              <w:t>R</w:t>
            </w:r>
          </w:p>
        </w:tc>
        <w:tc>
          <w:tcPr>
            <w:tcW w:w="2351" w:type="pct"/>
            <w:shd w:val="clear" w:color="auto" w:fill="F2F2F2" w:themeFill="background1" w:themeFillShade="F2"/>
            <w:vAlign w:val="center"/>
          </w:tcPr>
          <w:p w14:paraId="01C5DBA9" w14:textId="77777777" w:rsidR="006E6FBE" w:rsidRPr="007C1FC8" w:rsidRDefault="006E6FBE" w:rsidP="00674CB1">
            <w:pPr>
              <w:jc w:val="left"/>
              <w:rPr>
                <w:sz w:val="18"/>
                <w:szCs w:val="18"/>
                <w:lang w:val="en-GB"/>
              </w:rPr>
            </w:pPr>
            <w:r w:rsidRPr="007C1FC8">
              <w:rPr>
                <w:sz w:val="18"/>
                <w:szCs w:val="18"/>
                <w:lang w:val="en-GB"/>
              </w:rPr>
              <w:t>Statement in accordance with ISO 14064-1</w:t>
            </w:r>
          </w:p>
        </w:tc>
        <w:tc>
          <w:tcPr>
            <w:tcW w:w="1952" w:type="pct"/>
            <w:shd w:val="clear" w:color="auto" w:fill="F2F2F2" w:themeFill="background1" w:themeFillShade="F2"/>
            <w:vAlign w:val="center"/>
          </w:tcPr>
          <w:p w14:paraId="1E889F2A" w14:textId="77777777" w:rsidR="006E6FBE" w:rsidRPr="00F37C18" w:rsidRDefault="00982546" w:rsidP="00674CB1">
            <w:pPr>
              <w:jc w:val="left"/>
              <w:rPr>
                <w:sz w:val="18"/>
                <w:szCs w:val="18"/>
              </w:rPr>
            </w:pPr>
            <w:r>
              <w:rPr>
                <w:sz w:val="18"/>
                <w:szCs w:val="18"/>
              </w:rPr>
              <w:t>Verslag</w:t>
            </w:r>
            <w:r w:rsidR="00DC40AB">
              <w:rPr>
                <w:sz w:val="18"/>
                <w:szCs w:val="18"/>
                <w:lang w:val="en-US"/>
              </w:rPr>
              <w:t xml:space="preserve">, </w:t>
            </w:r>
            <w:r w:rsidR="001D1B72" w:rsidRPr="001D1B72">
              <w:rPr>
                <w:rFonts w:eastAsia="SimSun"/>
                <w:bCs/>
                <w:caps/>
                <w:szCs w:val="20"/>
              </w:rPr>
              <w:t>§</w:t>
            </w:r>
            <w:r w:rsidR="00DC40AB">
              <w:rPr>
                <w:sz w:val="18"/>
                <w:szCs w:val="18"/>
                <w:lang w:val="en-US"/>
              </w:rPr>
              <w:t>5.1</w:t>
            </w:r>
          </w:p>
        </w:tc>
      </w:tr>
      <w:tr w:rsidR="006E6FBE" w:rsidRPr="000D3F7B" w14:paraId="727D0F19" w14:textId="77777777" w:rsidTr="005967C0">
        <w:trPr>
          <w:trHeight w:val="77"/>
        </w:trPr>
        <w:tc>
          <w:tcPr>
            <w:tcW w:w="697" w:type="pct"/>
            <w:shd w:val="clear" w:color="auto" w:fill="F2F2F2" w:themeFill="background1" w:themeFillShade="F2"/>
            <w:vAlign w:val="center"/>
          </w:tcPr>
          <w:p w14:paraId="3C343D69" w14:textId="77777777" w:rsidR="006E6FBE" w:rsidRPr="00F37C18" w:rsidRDefault="006E6FBE" w:rsidP="005967C0">
            <w:pPr>
              <w:jc w:val="center"/>
              <w:rPr>
                <w:sz w:val="18"/>
                <w:szCs w:val="18"/>
              </w:rPr>
            </w:pPr>
            <w:r w:rsidRPr="00F37C18">
              <w:rPr>
                <w:sz w:val="18"/>
                <w:szCs w:val="18"/>
              </w:rPr>
              <w:t>S</w:t>
            </w:r>
          </w:p>
        </w:tc>
        <w:tc>
          <w:tcPr>
            <w:tcW w:w="2351" w:type="pct"/>
            <w:shd w:val="clear" w:color="auto" w:fill="F2F2F2" w:themeFill="background1" w:themeFillShade="F2"/>
            <w:vAlign w:val="center"/>
          </w:tcPr>
          <w:p w14:paraId="3B24B265" w14:textId="77777777" w:rsidR="006E6FBE" w:rsidRPr="007C1FC8" w:rsidRDefault="006E6FBE" w:rsidP="00674CB1">
            <w:pPr>
              <w:jc w:val="left"/>
              <w:rPr>
                <w:sz w:val="18"/>
                <w:szCs w:val="18"/>
                <w:lang w:val="en-GB"/>
              </w:rPr>
            </w:pPr>
            <w:r w:rsidRPr="007C1FC8">
              <w:rPr>
                <w:sz w:val="18"/>
                <w:szCs w:val="18"/>
                <w:lang w:val="en-GB"/>
              </w:rPr>
              <w:t>Verification</w:t>
            </w:r>
          </w:p>
        </w:tc>
        <w:tc>
          <w:tcPr>
            <w:tcW w:w="1952" w:type="pct"/>
            <w:shd w:val="clear" w:color="auto" w:fill="F2F2F2" w:themeFill="background1" w:themeFillShade="F2"/>
            <w:vAlign w:val="center"/>
          </w:tcPr>
          <w:p w14:paraId="09DCB0F3" w14:textId="77777777" w:rsidR="006E6FBE" w:rsidRPr="00F37C18" w:rsidRDefault="00982546" w:rsidP="00674CB1">
            <w:pPr>
              <w:keepNext/>
              <w:jc w:val="left"/>
              <w:rPr>
                <w:sz w:val="18"/>
                <w:szCs w:val="18"/>
              </w:rPr>
            </w:pPr>
            <w:r>
              <w:rPr>
                <w:sz w:val="18"/>
                <w:szCs w:val="18"/>
              </w:rPr>
              <w:t>Verslag</w:t>
            </w:r>
            <w:r w:rsidR="001D1B72">
              <w:rPr>
                <w:sz w:val="18"/>
                <w:szCs w:val="18"/>
                <w:lang w:val="en-US"/>
              </w:rPr>
              <w:t xml:space="preserve">, </w:t>
            </w:r>
            <w:r w:rsidR="001D1B72" w:rsidRPr="001D1B72">
              <w:rPr>
                <w:rFonts w:eastAsia="SimSun"/>
                <w:bCs/>
                <w:caps/>
                <w:szCs w:val="20"/>
              </w:rPr>
              <w:t>§</w:t>
            </w:r>
            <w:r w:rsidR="001D1B72">
              <w:rPr>
                <w:sz w:val="18"/>
                <w:szCs w:val="18"/>
                <w:lang w:val="en-US"/>
              </w:rPr>
              <w:t>5.7</w:t>
            </w:r>
          </w:p>
        </w:tc>
      </w:tr>
    </w:tbl>
    <w:p w14:paraId="42B93475" w14:textId="77777777" w:rsidR="001266C3" w:rsidRDefault="001266C3" w:rsidP="001266C3">
      <w:pPr>
        <w:pStyle w:val="Kop2"/>
      </w:pPr>
      <w:bookmarkStart w:id="63" w:name="_Referentiejaar_en_rapportagejaar"/>
      <w:bookmarkStart w:id="64" w:name="_Toc118736233"/>
      <w:bookmarkStart w:id="65" w:name="_Toc142472121"/>
      <w:bookmarkEnd w:id="63"/>
      <w:r>
        <w:lastRenderedPageBreak/>
        <w:t>Referentiejaar en rapportagejaar</w:t>
      </w:r>
      <w:bookmarkEnd w:id="64"/>
      <w:bookmarkEnd w:id="65"/>
    </w:p>
    <w:p w14:paraId="17B49030" w14:textId="71977A4A" w:rsidR="00AB589C" w:rsidRPr="000804E7" w:rsidRDefault="001266C3" w:rsidP="000804E7">
      <w:r w:rsidRPr="00840031">
        <w:t>Het jaar 2</w:t>
      </w:r>
      <w:r w:rsidR="00840031" w:rsidRPr="00840031">
        <w:t>021</w:t>
      </w:r>
      <w:r w:rsidRPr="00840031">
        <w:t xml:space="preserve"> dient als referentiejaar voor de CO</w:t>
      </w:r>
      <w:r w:rsidRPr="00840031">
        <w:rPr>
          <w:vertAlign w:val="subscript"/>
        </w:rPr>
        <w:t>2</w:t>
      </w:r>
      <w:r w:rsidRPr="00840031">
        <w:t>-reductiedoelstellingen en het monitoren van de CO</w:t>
      </w:r>
      <w:r w:rsidRPr="00840031">
        <w:rPr>
          <w:vertAlign w:val="subscript"/>
        </w:rPr>
        <w:t>2</w:t>
      </w:r>
      <w:r w:rsidRPr="00840031">
        <w:t>-uitstoot. Dit rapport betreft rapportagejaar 20</w:t>
      </w:r>
      <w:r w:rsidR="00840031" w:rsidRPr="00840031">
        <w:t>2</w:t>
      </w:r>
      <w:r w:rsidR="0016070F">
        <w:t>5</w:t>
      </w:r>
      <w:r w:rsidRPr="00840031">
        <w:t>.</w:t>
      </w:r>
      <w:r w:rsidR="00C853D9" w:rsidRPr="00840031">
        <w:t xml:space="preserve"> Alle volgende paragrafen in dit hoof</w:t>
      </w:r>
      <w:r w:rsidR="0022750C" w:rsidRPr="00840031">
        <w:t xml:space="preserve">dstuk betreffen het rapportagejaar zoals hier vermeld en de organisatie zoals omschreven in hoofdstuk 4 van dit </w:t>
      </w:r>
      <w:r w:rsidR="00F640F9" w:rsidRPr="00840031">
        <w:t>CO</w:t>
      </w:r>
      <w:r w:rsidR="00F640F9" w:rsidRPr="00840031">
        <w:rPr>
          <w:vertAlign w:val="subscript"/>
        </w:rPr>
        <w:t>2</w:t>
      </w:r>
      <w:r w:rsidR="00F640F9" w:rsidRPr="00840031">
        <w:t xml:space="preserve">-verslag. </w:t>
      </w:r>
    </w:p>
    <w:p w14:paraId="40BE4206" w14:textId="77777777" w:rsidR="00AB589C" w:rsidRDefault="00AB589C" w:rsidP="001266C3">
      <w:pPr>
        <w:spacing w:line="276" w:lineRule="auto"/>
        <w:rPr>
          <w:color w:val="000000" w:themeColor="text1"/>
        </w:rPr>
      </w:pPr>
    </w:p>
    <w:p w14:paraId="10E454E9" w14:textId="77777777" w:rsidR="00EB6EE8" w:rsidRDefault="000102A2" w:rsidP="000102A2">
      <w:pPr>
        <w:pStyle w:val="Kop3"/>
      </w:pPr>
      <w:bookmarkStart w:id="66" w:name="_Toc118736234"/>
      <w:bookmarkStart w:id="67" w:name="_Toc142472122"/>
      <w:r>
        <w:t>Significante veranderingen</w:t>
      </w:r>
      <w:r w:rsidR="00192B88">
        <w:t xml:space="preserve"> en herberekeningen</w:t>
      </w:r>
      <w:bookmarkEnd w:id="66"/>
      <w:bookmarkEnd w:id="67"/>
    </w:p>
    <w:p w14:paraId="210958AC" w14:textId="2234759F" w:rsidR="00A3581C" w:rsidRPr="00AB589C" w:rsidRDefault="00604F37" w:rsidP="008727D1">
      <w:r>
        <w:t xml:space="preserve">Er </w:t>
      </w:r>
      <w:r w:rsidR="008727D1">
        <w:t xml:space="preserve">is een wijziging geweest in de emissiefactoren voor scope 3 “productieafval”. Deze zijn met terugwerkende kracht berekend, waarbij deze nu op basis van de waardes van CO2 emissiefactoren.nl zijn bepaald. </w:t>
      </w:r>
    </w:p>
    <w:p w14:paraId="7C5310BD" w14:textId="77777777" w:rsidR="007D17AE" w:rsidRPr="00760646" w:rsidRDefault="007D17AE" w:rsidP="00AB589C">
      <w:pPr>
        <w:pStyle w:val="Lijstalinea"/>
      </w:pPr>
    </w:p>
    <w:p w14:paraId="660B05DA" w14:textId="77777777" w:rsidR="00C62B0F" w:rsidRPr="007B563D" w:rsidRDefault="00C62B0F" w:rsidP="00C62B0F">
      <w:pPr>
        <w:pStyle w:val="Kop2"/>
      </w:pPr>
      <w:bookmarkStart w:id="68" w:name="_Toc327187660"/>
      <w:bookmarkStart w:id="69" w:name="_Toc520715843"/>
      <w:bookmarkStart w:id="70" w:name="_Toc18488489"/>
      <w:bookmarkStart w:id="71" w:name="_Toc90908419"/>
      <w:bookmarkStart w:id="72" w:name="_Toc118736235"/>
      <w:bookmarkStart w:id="73" w:name="_Toc142472123"/>
      <w:r w:rsidRPr="007B563D">
        <w:t>Kwantificeringsmethoden</w:t>
      </w:r>
      <w:bookmarkEnd w:id="68"/>
      <w:bookmarkEnd w:id="69"/>
      <w:bookmarkEnd w:id="70"/>
      <w:bookmarkEnd w:id="71"/>
      <w:bookmarkEnd w:id="72"/>
      <w:bookmarkEnd w:id="73"/>
    </w:p>
    <w:p w14:paraId="4FEC6B2A" w14:textId="77777777" w:rsidR="005242EB" w:rsidRDefault="00C62B0F" w:rsidP="00F325DF">
      <w:r w:rsidRPr="00D557B4">
        <w:t>Voor het kwantificeren van de CO</w:t>
      </w:r>
      <w:r w:rsidRPr="00D557B4">
        <w:rPr>
          <w:vertAlign w:val="subscript"/>
        </w:rPr>
        <w:t>2</w:t>
      </w:r>
      <w:r w:rsidRPr="00D557B4">
        <w:t>-uitstoot is gebruik gemaakt van een Excelmodel waarbij alle energieverbruiken worden omgerekend naar CO</w:t>
      </w:r>
      <w:r w:rsidRPr="00D557B4">
        <w:rPr>
          <w:vertAlign w:val="subscript"/>
        </w:rPr>
        <w:t>2</w:t>
      </w:r>
      <w:r w:rsidRPr="00D557B4">
        <w:t xml:space="preserve">-emissies. </w:t>
      </w:r>
      <w:r w:rsidR="0001005D">
        <w:t xml:space="preserve">De bronnen van de energieverbruiken worden vermeld in het Excel document van de </w:t>
      </w:r>
      <w:r w:rsidR="0001005D" w:rsidRPr="0001005D">
        <w:t>CO</w:t>
      </w:r>
      <w:r w:rsidR="0001005D" w:rsidRPr="0001005D">
        <w:rPr>
          <w:vertAlign w:val="subscript"/>
        </w:rPr>
        <w:t>2</w:t>
      </w:r>
      <w:r w:rsidR="0001005D">
        <w:t xml:space="preserve">-emissie-inventaris van de organisatie. </w:t>
      </w:r>
      <w:r w:rsidR="00627561">
        <w:t>D</w:t>
      </w:r>
      <w:r w:rsidRPr="00D557B4">
        <w:t xml:space="preserve">e emissiefactoren van de website </w:t>
      </w:r>
      <w:hyperlink r:id="rId17" w:history="1">
        <w:r w:rsidRPr="00D557B4">
          <w:rPr>
            <w:rStyle w:val="Hyperlink"/>
            <w:color w:val="000000" w:themeColor="text1"/>
          </w:rPr>
          <w:t>www.co2emissiefactoren.nl</w:t>
        </w:r>
      </w:hyperlink>
      <w:r w:rsidRPr="00D557B4">
        <w:t xml:space="preserve"> </w:t>
      </w:r>
      <w:r w:rsidR="00627561">
        <w:t xml:space="preserve">worden </w:t>
      </w:r>
      <w:r w:rsidRPr="00D557B4">
        <w:t>gehanteerd</w:t>
      </w:r>
      <w:r w:rsidR="00D1481F" w:rsidRPr="00D557B4">
        <w:t>, zoals omschreven in handboek 3.1 van de CO</w:t>
      </w:r>
      <w:r w:rsidR="00D1481F" w:rsidRPr="00D557B4">
        <w:rPr>
          <w:vertAlign w:val="subscript"/>
        </w:rPr>
        <w:t>2</w:t>
      </w:r>
      <w:r w:rsidR="00D1481F" w:rsidRPr="00D557B4">
        <w:t>-Prestatieladder</w:t>
      </w:r>
      <w:r w:rsidR="003B3338" w:rsidRPr="00D557B4">
        <w:t xml:space="preserve"> en volgens de toepassing zoals omschreven op </w:t>
      </w:r>
      <w:hyperlink r:id="rId18" w:history="1">
        <w:r w:rsidR="003B3338" w:rsidRPr="00D557B4">
          <w:rPr>
            <w:rStyle w:val="Hyperlink"/>
            <w:color w:val="000000" w:themeColor="text1"/>
          </w:rPr>
          <w:t>www.co2emissiefactoren.nl</w:t>
        </w:r>
      </w:hyperlink>
      <w:r w:rsidRPr="00D557B4">
        <w:t xml:space="preserve">. </w:t>
      </w:r>
      <w:r w:rsidR="00B51605" w:rsidRPr="00D557B4">
        <w:t>Omdat het gaat om specifieke emissiefactoren op nationaal niveau, zijn de gehanteerde emissiefactoren zeer geschikt voor het omrekenen van de data van de broeikasgas activiteiten naar de daarmee gepaard gaande CO</w:t>
      </w:r>
      <w:r w:rsidR="00B51605" w:rsidRPr="00D557B4">
        <w:rPr>
          <w:vertAlign w:val="subscript"/>
        </w:rPr>
        <w:t>2</w:t>
      </w:r>
      <w:r w:rsidR="00B51605" w:rsidRPr="00D557B4">
        <w:t xml:space="preserve">-emissies. </w:t>
      </w:r>
      <w:r w:rsidR="005242EB" w:rsidRPr="00D557B4">
        <w:t xml:space="preserve">De emissiefactoren van de organisatie zullen </w:t>
      </w:r>
      <w:r w:rsidR="00627561" w:rsidRPr="00D557B4">
        <w:t>te allen tijde</w:t>
      </w:r>
      <w:r w:rsidR="005242EB" w:rsidRPr="00D557B4">
        <w:t xml:space="preserve"> meegaan met wijzigingen in de emissiefactoren van</w:t>
      </w:r>
      <w:r w:rsidR="00850234" w:rsidRPr="00D557B4">
        <w:t xml:space="preserve"> handboek </w:t>
      </w:r>
      <w:r w:rsidR="005242EB" w:rsidRPr="00D557B4">
        <w:t>3.1</w:t>
      </w:r>
      <w:r w:rsidR="00850234" w:rsidRPr="00D557B4">
        <w:t xml:space="preserve"> en daaropvolgende handboeken van de CO</w:t>
      </w:r>
      <w:r w:rsidR="00850234" w:rsidRPr="00D557B4">
        <w:rPr>
          <w:vertAlign w:val="subscript"/>
        </w:rPr>
        <w:t>2</w:t>
      </w:r>
      <w:r w:rsidR="00850234" w:rsidRPr="00D557B4">
        <w:t>-Prestatieladder</w:t>
      </w:r>
      <w:r w:rsidR="005242EB" w:rsidRPr="00D557B4">
        <w:t xml:space="preserve">. </w:t>
      </w:r>
    </w:p>
    <w:p w14:paraId="3BD80479" w14:textId="77777777" w:rsidR="00F325DF" w:rsidRPr="00D557B4" w:rsidRDefault="00F325DF" w:rsidP="00F325DF"/>
    <w:p w14:paraId="6930641B" w14:textId="77777777" w:rsidR="005242EB" w:rsidRDefault="00D557B4" w:rsidP="00F325DF">
      <w:r w:rsidRPr="00D557B4">
        <w:t>Er zijn geen verwijderingsfactoren van toepassing.</w:t>
      </w:r>
    </w:p>
    <w:p w14:paraId="007D4AF6" w14:textId="77777777" w:rsidR="00F325DF" w:rsidRPr="0001005D" w:rsidRDefault="00F325DF" w:rsidP="00F325DF"/>
    <w:p w14:paraId="61B1691A" w14:textId="77777777" w:rsidR="00CC1B6A" w:rsidRDefault="00CC1B6A" w:rsidP="00CC1B6A">
      <w:pPr>
        <w:pStyle w:val="Kop3"/>
      </w:pPr>
      <w:bookmarkStart w:id="74" w:name="_Toc118736236"/>
      <w:bookmarkStart w:id="75" w:name="_Toc142472124"/>
      <w:r>
        <w:t>Veranderingen van kwantificeringsmethoden</w:t>
      </w:r>
      <w:bookmarkEnd w:id="74"/>
      <w:bookmarkEnd w:id="75"/>
    </w:p>
    <w:p w14:paraId="6AFC9328" w14:textId="11BAE553" w:rsidR="00760646" w:rsidRPr="00AB589C" w:rsidRDefault="00AB589C" w:rsidP="00760646">
      <w:r w:rsidRPr="00AB589C">
        <w:t xml:space="preserve">Er zijn geen directe wijzigingen geweest in de kwantificeringsmethodes. </w:t>
      </w:r>
    </w:p>
    <w:p w14:paraId="73577625" w14:textId="77777777" w:rsidR="00553490" w:rsidRDefault="00553490" w:rsidP="00157253"/>
    <w:p w14:paraId="7D5C4BAB" w14:textId="77777777" w:rsidR="00037A57" w:rsidRPr="00553490" w:rsidRDefault="00553490" w:rsidP="00553490">
      <w:pPr>
        <w:pStyle w:val="Kop2"/>
      </w:pPr>
      <w:bookmarkStart w:id="76" w:name="_CO2-emissie_berekeningen"/>
      <w:bookmarkStart w:id="77" w:name="_Toc118736237"/>
      <w:bookmarkStart w:id="78" w:name="_Toc142472125"/>
      <w:bookmarkEnd w:id="76"/>
      <w:r w:rsidRPr="006C3145">
        <w:t>CO</w:t>
      </w:r>
      <w:r w:rsidRPr="006C3145">
        <w:rPr>
          <w:vertAlign w:val="subscript"/>
        </w:rPr>
        <w:t>2</w:t>
      </w:r>
      <w:r>
        <w:t>-emissie berekeningen</w:t>
      </w:r>
      <w:bookmarkEnd w:id="77"/>
      <w:bookmarkEnd w:id="78"/>
    </w:p>
    <w:p w14:paraId="58CFE46B" w14:textId="77777777" w:rsidR="00037A57" w:rsidRDefault="00894D16" w:rsidP="00553490">
      <w:pPr>
        <w:pStyle w:val="Kop3"/>
      </w:pPr>
      <w:bookmarkStart w:id="79" w:name="_Toc118736238"/>
      <w:bookmarkStart w:id="80" w:name="_Toc142472126"/>
      <w:r w:rsidRPr="006C3145">
        <w:t>CO</w:t>
      </w:r>
      <w:r w:rsidRPr="006C3145">
        <w:rPr>
          <w:vertAlign w:val="subscript"/>
        </w:rPr>
        <w:t>2</w:t>
      </w:r>
      <w:r w:rsidR="00733E37">
        <w:t>-emissies</w:t>
      </w:r>
      <w:bookmarkEnd w:id="79"/>
      <w:bookmarkEnd w:id="80"/>
      <w:r w:rsidR="00A6491B">
        <w:t xml:space="preserve"> </w:t>
      </w:r>
    </w:p>
    <w:p w14:paraId="3A7ABC1B" w14:textId="77777777" w:rsidR="003E43E1" w:rsidRDefault="001A1819" w:rsidP="003E43E1">
      <w:r>
        <w:t xml:space="preserve">In onderstaande tabel zijn de verbruiken en bijbehorende </w:t>
      </w:r>
      <w:r w:rsidRPr="006C3145">
        <w:t>CO</w:t>
      </w:r>
      <w:r w:rsidRPr="006C3145">
        <w:rPr>
          <w:vertAlign w:val="subscript"/>
        </w:rPr>
        <w:t>2</w:t>
      </w:r>
      <w:r>
        <w:t xml:space="preserve">-emissies </w:t>
      </w:r>
      <w:r w:rsidR="00E341C7">
        <w:t xml:space="preserve">weergegeven voor scope 1, 2 en business </w:t>
      </w:r>
      <w:proofErr w:type="spellStart"/>
      <w:r w:rsidR="00E341C7">
        <w:t>travel</w:t>
      </w:r>
      <w:proofErr w:type="spellEnd"/>
      <w:r w:rsidR="00E341C7">
        <w:t>.</w:t>
      </w:r>
    </w:p>
    <w:p w14:paraId="118F2C7B" w14:textId="77777777" w:rsidR="00E341C7" w:rsidRDefault="00E341C7" w:rsidP="003E43E1"/>
    <w:p w14:paraId="66C98BC1" w14:textId="2FA634BE" w:rsidR="005A4471" w:rsidRPr="00BB21E0" w:rsidRDefault="00347CE7" w:rsidP="00733E37">
      <w:pPr>
        <w:rPr>
          <w:b/>
          <w:bCs/>
          <w:color w:val="FF0000"/>
        </w:rPr>
      </w:pPr>
      <w:r w:rsidRPr="00347CE7">
        <w:rPr>
          <w:noProof/>
        </w:rPr>
        <w:drawing>
          <wp:inline distT="0" distB="0" distL="0" distR="0" wp14:anchorId="11CCF554" wp14:editId="54966679">
            <wp:extent cx="5760720" cy="3540125"/>
            <wp:effectExtent l="0" t="0" r="0" b="3175"/>
            <wp:docPr id="15554790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40125"/>
                    </a:xfrm>
                    <a:prstGeom prst="rect">
                      <a:avLst/>
                    </a:prstGeom>
                    <a:noFill/>
                    <a:ln>
                      <a:noFill/>
                    </a:ln>
                  </pic:spPr>
                </pic:pic>
              </a:graphicData>
            </a:graphic>
          </wp:inline>
        </w:drawing>
      </w:r>
    </w:p>
    <w:p w14:paraId="619B94C2" w14:textId="77777777" w:rsidR="005A4471" w:rsidRDefault="005A4471" w:rsidP="005A4471"/>
    <w:p w14:paraId="28A6CB24" w14:textId="77777777" w:rsidR="005A4471" w:rsidRDefault="005A4471" w:rsidP="005A4471">
      <w:r>
        <w:t xml:space="preserve">In onderstaande tabel zijn de </w:t>
      </w:r>
      <w:r w:rsidRPr="006C3145">
        <w:t>CO</w:t>
      </w:r>
      <w:r w:rsidRPr="006C3145">
        <w:rPr>
          <w:vertAlign w:val="subscript"/>
        </w:rPr>
        <w:t>2</w:t>
      </w:r>
      <w:r>
        <w:t>-emissies weergegeven voor de verschillende emissiestromen in scope 3.</w:t>
      </w:r>
    </w:p>
    <w:p w14:paraId="21CBF6CD" w14:textId="77777777" w:rsidR="005A4471" w:rsidRDefault="005A4471" w:rsidP="005A4471">
      <w:pPr>
        <w:pStyle w:val="Kop3"/>
        <w:numPr>
          <w:ilvl w:val="0"/>
          <w:numId w:val="0"/>
        </w:numPr>
      </w:pPr>
    </w:p>
    <w:p w14:paraId="16A91DC7" w14:textId="39E74AB7" w:rsidR="006725A5" w:rsidRDefault="006725A5" w:rsidP="00A6491B"/>
    <w:p w14:paraId="0375D9F8" w14:textId="46DC764E" w:rsidR="001077DE" w:rsidRDefault="008727D1" w:rsidP="00A6491B">
      <w:r w:rsidRPr="008727D1">
        <w:rPr>
          <w:noProof/>
        </w:rPr>
        <w:drawing>
          <wp:inline distT="0" distB="0" distL="0" distR="0" wp14:anchorId="350D2104" wp14:editId="6FF0D4B8">
            <wp:extent cx="4502150" cy="4102199"/>
            <wp:effectExtent l="0" t="0" r="0" b="0"/>
            <wp:docPr id="20676179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3807" cy="4103709"/>
                    </a:xfrm>
                    <a:prstGeom prst="rect">
                      <a:avLst/>
                    </a:prstGeom>
                    <a:noFill/>
                    <a:ln>
                      <a:noFill/>
                    </a:ln>
                  </pic:spPr>
                </pic:pic>
              </a:graphicData>
            </a:graphic>
          </wp:inline>
        </w:drawing>
      </w:r>
    </w:p>
    <w:p w14:paraId="3A86BBD2" w14:textId="77777777" w:rsidR="00330CF2" w:rsidRPr="00BB21E0" w:rsidRDefault="00330CF2" w:rsidP="00A6491B"/>
    <w:p w14:paraId="70E805ED" w14:textId="77777777" w:rsidR="006725A5" w:rsidRDefault="006725A5" w:rsidP="006725A5">
      <w:pPr>
        <w:pStyle w:val="Kop3"/>
      </w:pPr>
      <w:bookmarkStart w:id="81" w:name="_Toc118736240"/>
      <w:bookmarkStart w:id="82" w:name="_Toc142472127"/>
      <w:r>
        <w:t>Uitsluiting van overige GHG-emissies</w:t>
      </w:r>
      <w:bookmarkEnd w:id="81"/>
      <w:bookmarkEnd w:id="82"/>
    </w:p>
    <w:p w14:paraId="10383C80" w14:textId="2C8FCCDE" w:rsidR="006725A5" w:rsidRPr="00146B8E" w:rsidRDefault="006725A5" w:rsidP="00F325DF">
      <w:pPr>
        <w:rPr>
          <w:color w:val="ED7D31" w:themeColor="accent2"/>
        </w:rPr>
      </w:pPr>
      <w:r w:rsidRPr="00AD4F9C">
        <w:t xml:space="preserve">In </w:t>
      </w:r>
      <w:r>
        <w:t>h</w:t>
      </w:r>
      <w:r w:rsidRPr="00AD4F9C">
        <w:t>andboek 3.</w:t>
      </w:r>
      <w:r>
        <w:t>1</w:t>
      </w:r>
      <w:r w:rsidRPr="00AD4F9C">
        <w:t xml:space="preserve"> </w:t>
      </w:r>
      <w:r>
        <w:t xml:space="preserve">van de </w:t>
      </w:r>
      <w:r w:rsidRPr="006C3145">
        <w:t>CO</w:t>
      </w:r>
      <w:r w:rsidRPr="006C3145">
        <w:rPr>
          <w:vertAlign w:val="subscript"/>
        </w:rPr>
        <w:t>2</w:t>
      </w:r>
      <w:r>
        <w:t xml:space="preserve">-Prestatieladder </w:t>
      </w:r>
      <w:r w:rsidRPr="00AD4F9C">
        <w:t>is de rapportage van de CO</w:t>
      </w:r>
      <w:r w:rsidRPr="00AD4F9C">
        <w:rPr>
          <w:vertAlign w:val="subscript"/>
        </w:rPr>
        <w:t>2</w:t>
      </w:r>
      <w:r w:rsidRPr="00AD4F9C">
        <w:t>-emissie-inventaris over alle broeikasgassen, uitgedrukt in CO</w:t>
      </w:r>
      <w:r w:rsidRPr="00AD4F9C">
        <w:rPr>
          <w:vertAlign w:val="subscript"/>
        </w:rPr>
        <w:t>2</w:t>
      </w:r>
      <w:r w:rsidRPr="00AD4F9C">
        <w:t>-equivalenten nog niet verplicht. Het is dus niet vereist overige gassen, niet zijnde CO</w:t>
      </w:r>
      <w:r w:rsidRPr="00AD4F9C">
        <w:rPr>
          <w:vertAlign w:val="subscript"/>
        </w:rPr>
        <w:t>2</w:t>
      </w:r>
      <w:r w:rsidRPr="00AD4F9C">
        <w:t xml:space="preserve"> (CH</w:t>
      </w:r>
      <w:r w:rsidRPr="00AD4F9C">
        <w:rPr>
          <w:vertAlign w:val="subscript"/>
        </w:rPr>
        <w:t>4</w:t>
      </w:r>
      <w:r w:rsidRPr="00AD4F9C">
        <w:t>, N</w:t>
      </w:r>
      <w:r w:rsidRPr="00AD4F9C">
        <w:rPr>
          <w:vertAlign w:val="subscript"/>
        </w:rPr>
        <w:t>2</w:t>
      </w:r>
      <w:r w:rsidRPr="00AD4F9C">
        <w:t xml:space="preserve">O, </w:t>
      </w:r>
      <w:proofErr w:type="spellStart"/>
      <w:r w:rsidRPr="00AD4F9C">
        <w:t>HFC’s</w:t>
      </w:r>
      <w:proofErr w:type="spellEnd"/>
      <w:r w:rsidRPr="00AD4F9C">
        <w:t xml:space="preserve">, </w:t>
      </w:r>
      <w:proofErr w:type="spellStart"/>
      <w:r w:rsidRPr="00AD4F9C">
        <w:t>PFC’s</w:t>
      </w:r>
      <w:proofErr w:type="spellEnd"/>
      <w:r w:rsidRPr="00AD4F9C">
        <w:t xml:space="preserve"> en SF</w:t>
      </w:r>
      <w:r w:rsidRPr="00AD4F9C">
        <w:rPr>
          <w:vertAlign w:val="subscript"/>
        </w:rPr>
        <w:t>6</w:t>
      </w:r>
      <w:r w:rsidRPr="00AD4F9C">
        <w:t xml:space="preserve">) die vrijkomen bij operaties van </w:t>
      </w:r>
      <w:r>
        <w:t>de organisatie,</w:t>
      </w:r>
      <w:r w:rsidRPr="00AD4F9C">
        <w:t xml:space="preserve"> mee te nemen</w:t>
      </w:r>
      <w:r w:rsidRPr="006A7D62">
        <w:rPr>
          <w:color w:val="000000" w:themeColor="text1"/>
        </w:rPr>
        <w:t xml:space="preserve"> in de emissie-inventaris. Dit geldt ook voor koudemiddelen (</w:t>
      </w:r>
      <w:proofErr w:type="spellStart"/>
      <w:r w:rsidRPr="006A7D62">
        <w:rPr>
          <w:color w:val="000000" w:themeColor="text1"/>
        </w:rPr>
        <w:t>refrigerants</w:t>
      </w:r>
      <w:proofErr w:type="spellEnd"/>
      <w:r w:rsidRPr="006A7D62">
        <w:rPr>
          <w:color w:val="000000" w:themeColor="text1"/>
        </w:rPr>
        <w:t xml:space="preserve">) en smeermiddelen. </w:t>
      </w:r>
      <w:r>
        <w:rPr>
          <w:color w:val="000000" w:themeColor="text1"/>
        </w:rPr>
        <w:t>Daarom worden deze uitgesloten van deze emissie-inventaris rapportage.</w:t>
      </w:r>
      <w:r w:rsidR="00146B8E">
        <w:rPr>
          <w:color w:val="000000" w:themeColor="text1"/>
        </w:rPr>
        <w:t xml:space="preserve"> </w:t>
      </w:r>
    </w:p>
    <w:p w14:paraId="5875C773" w14:textId="77777777" w:rsidR="00D71436" w:rsidRDefault="00D71436" w:rsidP="00A6491B"/>
    <w:p w14:paraId="39717586" w14:textId="77777777" w:rsidR="00930EA7" w:rsidRDefault="00930EA7" w:rsidP="00930EA7">
      <w:pPr>
        <w:pStyle w:val="Kop2"/>
      </w:pPr>
      <w:bookmarkStart w:id="83" w:name="_Toc118736241"/>
      <w:bookmarkStart w:id="84" w:name="_Toc142472128"/>
      <w:r>
        <w:t>Verbranding van biomassa en GHG-verwijderingen</w:t>
      </w:r>
      <w:bookmarkEnd w:id="83"/>
      <w:bookmarkEnd w:id="84"/>
    </w:p>
    <w:p w14:paraId="50B65AFD" w14:textId="43D29351" w:rsidR="00C853D9" w:rsidRPr="008B0251" w:rsidRDefault="00735050" w:rsidP="00F325DF">
      <w:r w:rsidRPr="008B0251">
        <w:t>Er</w:t>
      </w:r>
      <w:r w:rsidR="00C853D9" w:rsidRPr="008B0251">
        <w:t xml:space="preserve"> vond</w:t>
      </w:r>
      <w:r w:rsidRPr="008B0251">
        <w:t>en</w:t>
      </w:r>
      <w:r w:rsidR="00C853D9" w:rsidRPr="008B0251">
        <w:t xml:space="preserve"> geen verbranding van biomassa </w:t>
      </w:r>
      <w:r w:rsidRPr="008B0251">
        <w:t>en geen GHG-verwijdering</w:t>
      </w:r>
      <w:r w:rsidR="00796D3D" w:rsidRPr="008B0251">
        <w:t xml:space="preserve">en </w:t>
      </w:r>
      <w:r w:rsidR="00C853D9" w:rsidRPr="008B0251">
        <w:t xml:space="preserve">plaats. </w:t>
      </w:r>
      <w:r w:rsidR="00796D3D" w:rsidRPr="008B0251">
        <w:t xml:space="preserve">Ook heeft er geen compensatie plaatsgevonden. </w:t>
      </w:r>
      <w:r w:rsidR="003323D2" w:rsidRPr="008B0251">
        <w:t xml:space="preserve"> </w:t>
      </w:r>
    </w:p>
    <w:p w14:paraId="7ECD766C" w14:textId="77777777" w:rsidR="00D27474" w:rsidRDefault="00D27474" w:rsidP="00C853D9">
      <w:pPr>
        <w:spacing w:line="276" w:lineRule="auto"/>
        <w:rPr>
          <w:color w:val="000000" w:themeColor="text1"/>
          <w:szCs w:val="22"/>
        </w:rPr>
      </w:pPr>
    </w:p>
    <w:p w14:paraId="2B44F742" w14:textId="77777777" w:rsidR="00D27474" w:rsidRDefault="00D27474" w:rsidP="00D27474">
      <w:pPr>
        <w:pStyle w:val="Kop2"/>
      </w:pPr>
      <w:bookmarkStart w:id="85" w:name="_Toc118736242"/>
      <w:bookmarkStart w:id="86" w:name="_Toc142472129"/>
      <w:r>
        <w:t>Onzekerheden</w:t>
      </w:r>
      <w:r w:rsidR="00906FCB">
        <w:t xml:space="preserve"> en impact</w:t>
      </w:r>
      <w:bookmarkEnd w:id="85"/>
      <w:bookmarkEnd w:id="86"/>
    </w:p>
    <w:p w14:paraId="0FCE79B8" w14:textId="77777777" w:rsidR="00437B1A" w:rsidRPr="00437B1A" w:rsidRDefault="00AF6340" w:rsidP="00437B1A">
      <w:pPr>
        <w:rPr>
          <w:color w:val="ED7D31" w:themeColor="accent2"/>
        </w:rPr>
      </w:pPr>
      <w:r>
        <w:t xml:space="preserve">De onzekerheden en de impact daarvan worden omschreven in het Excel document “Acties, planning en verantwoordelijkheden” op het tabblad </w:t>
      </w:r>
      <w:r w:rsidR="00C34BBE">
        <w:t>“dataverzameling”.</w:t>
      </w:r>
    </w:p>
    <w:p w14:paraId="7F203A0B" w14:textId="77777777" w:rsidR="00D27474" w:rsidRPr="00D27474" w:rsidRDefault="00D27474" w:rsidP="00D27474"/>
    <w:p w14:paraId="125FACAA" w14:textId="77777777" w:rsidR="00903FE7" w:rsidRPr="007B563D" w:rsidRDefault="00903FE7" w:rsidP="00903FE7">
      <w:pPr>
        <w:pStyle w:val="Kop2"/>
      </w:pPr>
      <w:bookmarkStart w:id="87" w:name="_Toc327187663"/>
      <w:bookmarkStart w:id="88" w:name="_Toc520715847"/>
      <w:bookmarkStart w:id="89" w:name="_Toc18488493"/>
      <w:bookmarkStart w:id="90" w:name="_Toc90908423"/>
      <w:bookmarkStart w:id="91" w:name="_Toc118736243"/>
      <w:bookmarkStart w:id="92" w:name="_Toc142472130"/>
      <w:r w:rsidRPr="007B563D">
        <w:t>Verificatie</w:t>
      </w:r>
      <w:bookmarkEnd w:id="87"/>
      <w:bookmarkEnd w:id="88"/>
      <w:bookmarkEnd w:id="89"/>
      <w:bookmarkEnd w:id="90"/>
      <w:bookmarkEnd w:id="91"/>
      <w:bookmarkEnd w:id="92"/>
    </w:p>
    <w:p w14:paraId="7B6FA230" w14:textId="77777777" w:rsidR="00903FE7" w:rsidRDefault="00903FE7" w:rsidP="00F325DF">
      <w:r w:rsidRPr="005F70BB">
        <w:t xml:space="preserve">De organisatie heeft ervoor gekozen om de emissie-inventaris niet apart te laten verifiëren door een extern bureau. De </w:t>
      </w:r>
      <w:r w:rsidR="00F3265D" w:rsidRPr="006C3145">
        <w:t>CO</w:t>
      </w:r>
      <w:r w:rsidR="00F3265D" w:rsidRPr="006C3145">
        <w:rPr>
          <w:vertAlign w:val="subscript"/>
        </w:rPr>
        <w:t>2</w:t>
      </w:r>
      <w:r w:rsidR="00F3265D">
        <w:t>-</w:t>
      </w:r>
      <w:r w:rsidRPr="005F70BB">
        <w:t xml:space="preserve">emissie-inventaris zal tijdens de externe audit </w:t>
      </w:r>
      <w:proofErr w:type="gramStart"/>
      <w:r w:rsidRPr="005F70BB">
        <w:t>middels</w:t>
      </w:r>
      <w:proofErr w:type="gramEnd"/>
      <w:r w:rsidRPr="005F70BB">
        <w:t xml:space="preserve"> een steekproef geverifieerd worden. </w:t>
      </w:r>
    </w:p>
    <w:p w14:paraId="04AE00A1" w14:textId="77777777" w:rsidR="00EB6EE8" w:rsidRDefault="00EB6EE8" w:rsidP="00C853D9">
      <w:pPr>
        <w:spacing w:line="276" w:lineRule="auto"/>
        <w:rPr>
          <w:color w:val="000000" w:themeColor="text1"/>
          <w:szCs w:val="22"/>
        </w:rPr>
      </w:pPr>
    </w:p>
    <w:p w14:paraId="225AD743" w14:textId="77777777" w:rsidR="00C34BBE" w:rsidRPr="00796D3D" w:rsidRDefault="00C34BBE" w:rsidP="00C34BBE">
      <w:pPr>
        <w:jc w:val="left"/>
        <w:rPr>
          <w:color w:val="000000" w:themeColor="text1"/>
          <w:szCs w:val="22"/>
        </w:rPr>
      </w:pPr>
      <w:r>
        <w:rPr>
          <w:color w:val="000000" w:themeColor="text1"/>
          <w:szCs w:val="22"/>
        </w:rPr>
        <w:br w:type="page"/>
      </w:r>
    </w:p>
    <w:p w14:paraId="1200F6B7" w14:textId="77777777" w:rsidR="00D71436" w:rsidRDefault="00940DCF" w:rsidP="003749B4">
      <w:pPr>
        <w:pStyle w:val="Kop1"/>
        <w:jc w:val="left"/>
      </w:pPr>
      <w:bookmarkStart w:id="93" w:name="_Toc142472131"/>
      <w:r>
        <w:lastRenderedPageBreak/>
        <w:t>Voortgang en ambitiebepaling</w:t>
      </w:r>
      <w:bookmarkEnd w:id="93"/>
    </w:p>
    <w:p w14:paraId="4A0587FF" w14:textId="77777777" w:rsidR="00940DCF" w:rsidRDefault="00940DCF" w:rsidP="00940DCF"/>
    <w:p w14:paraId="513F2058" w14:textId="77777777" w:rsidR="00940DCF" w:rsidRDefault="00940DCF" w:rsidP="00940DCF">
      <w:pPr>
        <w:pStyle w:val="Kop2"/>
      </w:pPr>
      <w:bookmarkStart w:id="94" w:name="_Toc90908439"/>
      <w:bookmarkStart w:id="95" w:name="_Toc118736248"/>
      <w:bookmarkStart w:id="96" w:name="_Toc142472132"/>
      <w:r>
        <w:t>Ambitie</w:t>
      </w:r>
      <w:bookmarkEnd w:id="94"/>
      <w:bookmarkEnd w:id="95"/>
      <w:bookmarkEnd w:id="96"/>
    </w:p>
    <w:p w14:paraId="7DC8C095" w14:textId="77777777" w:rsidR="00940DCF" w:rsidRDefault="00940DCF" w:rsidP="00940DCF">
      <w:r w:rsidRPr="00AE5208">
        <w:t>Vanuit de CO</w:t>
      </w:r>
      <w:r w:rsidRPr="00AE5208">
        <w:rPr>
          <w:vertAlign w:val="subscript"/>
        </w:rPr>
        <w:t>2</w:t>
      </w:r>
      <w:r w:rsidRPr="00AE5208">
        <w:t xml:space="preserve">-Prestatieladder wordt gevraagd om reductiedoelstellingen op te stellen die zowel ambitieus als realistisch zijn. </w:t>
      </w:r>
      <w:r w:rsidRPr="00EF435F">
        <w:t>Om te kunnen bepalen hoe ambitieus de doelstellingen en maatregele</w:t>
      </w:r>
      <w:r>
        <w:t>n zijn van de organisatie</w:t>
      </w:r>
      <w:r w:rsidRPr="00EF435F">
        <w:t xml:space="preserve"> is gekeken naar </w:t>
      </w:r>
      <w:r>
        <w:t xml:space="preserve">sectorgenoten en is de </w:t>
      </w:r>
      <w:r w:rsidR="00D33DC7">
        <w:t>m</w:t>
      </w:r>
      <w:r>
        <w:t xml:space="preserve">aatregellijst van SKAO ingevuld. </w:t>
      </w:r>
    </w:p>
    <w:p w14:paraId="1991148F" w14:textId="77777777" w:rsidR="00940DCF" w:rsidRPr="00E7261D" w:rsidRDefault="00940DCF" w:rsidP="00940DCF"/>
    <w:p w14:paraId="6DCE724F" w14:textId="77777777" w:rsidR="00940DCF" w:rsidRPr="00057E68" w:rsidRDefault="00940DCF" w:rsidP="00940DCF">
      <w:pPr>
        <w:pStyle w:val="Kop3"/>
      </w:pPr>
      <w:bookmarkStart w:id="97" w:name="_Toc90908440"/>
      <w:bookmarkStart w:id="98" w:name="_Toc118736249"/>
      <w:bookmarkStart w:id="99" w:name="_Toc142472133"/>
      <w:r w:rsidRPr="00057E68">
        <w:t>Vergelijking met sectorgenoten</w:t>
      </w:r>
      <w:bookmarkEnd w:id="97"/>
      <w:bookmarkEnd w:id="98"/>
      <w:bookmarkEnd w:id="99"/>
    </w:p>
    <w:p w14:paraId="34B16B4C" w14:textId="4455C3C6" w:rsidR="0052302F" w:rsidRDefault="0052302F" w:rsidP="00940DCF"/>
    <w:p w14:paraId="4F6074EC" w14:textId="433DA4E7" w:rsidR="00490D21" w:rsidRDefault="0052302F" w:rsidP="00490D21">
      <w:r>
        <w:t xml:space="preserve">Voor het rapportagejaar </w:t>
      </w:r>
      <w:r w:rsidR="00250810">
        <w:t xml:space="preserve">2025 zijn onderstaande sectorgenoten wederom </w:t>
      </w:r>
      <w:r w:rsidR="00A134AE">
        <w:t>geëvalueerd</w:t>
      </w:r>
      <w:r w:rsidR="00250810">
        <w:t xml:space="preserve"> en beoordeeld dat zij </w:t>
      </w:r>
      <w:r w:rsidR="00A134AE">
        <w:t xml:space="preserve">een correcte en eerlijke vergelijking bieden. </w:t>
      </w:r>
    </w:p>
    <w:p w14:paraId="3810497F" w14:textId="77777777" w:rsidR="00490D21" w:rsidRDefault="00490D21" w:rsidP="00490D21"/>
    <w:p w14:paraId="6F37E91B" w14:textId="42725AC0" w:rsidR="00B735F4" w:rsidRPr="00DA35D6" w:rsidRDefault="00B735F4" w:rsidP="00490D21">
      <w:pPr>
        <w:rPr>
          <w:b/>
          <w:bCs/>
        </w:rPr>
      </w:pPr>
      <w:r w:rsidRPr="00DA35D6">
        <w:rPr>
          <w:b/>
        </w:rPr>
        <w:t xml:space="preserve">Sectorgenoot 1 | HVR Speeltotaal Veenendaal B.V.  </w:t>
      </w:r>
    </w:p>
    <w:p w14:paraId="4EF69AD5" w14:textId="77777777" w:rsidR="00B735F4" w:rsidRPr="00DA35D6" w:rsidRDefault="00B735F4" w:rsidP="00B735F4">
      <w:pPr>
        <w:pStyle w:val="Lijstalinea"/>
      </w:pPr>
    </w:p>
    <w:p w14:paraId="74C1D61F" w14:textId="77777777" w:rsidR="001E672D" w:rsidRPr="00EF2B17" w:rsidRDefault="00B735F4" w:rsidP="001E672D">
      <w:pPr>
        <w:pStyle w:val="Lijstalinea"/>
      </w:pPr>
      <w:r w:rsidRPr="00EF2B17">
        <w:t xml:space="preserve">Zij zijn niveau 5 gecertificeerd en hebben als doel gesteld om </w:t>
      </w:r>
      <w:r w:rsidR="00831571" w:rsidRPr="00EF2B17">
        <w:t>50</w:t>
      </w:r>
      <w:r w:rsidRPr="00EF2B17">
        <w:t>% CO</w:t>
      </w:r>
      <w:r w:rsidRPr="00EF2B17">
        <w:rPr>
          <w:vertAlign w:val="subscript"/>
        </w:rPr>
        <w:t>2</w:t>
      </w:r>
      <w:r w:rsidRPr="00EF2B17">
        <w:t xml:space="preserve"> op scope 1 en 100% op scope 2 te reduceren</w:t>
      </w:r>
      <w:r w:rsidR="00D975F6" w:rsidRPr="00EF2B17">
        <w:t xml:space="preserve"> in 20</w:t>
      </w:r>
      <w:r w:rsidR="00465707" w:rsidRPr="00EF2B17">
        <w:t>30</w:t>
      </w:r>
      <w:r w:rsidR="006F629E" w:rsidRPr="00EF2B17">
        <w:t xml:space="preserve"> ten opzichte van 2017</w:t>
      </w:r>
      <w:r w:rsidRPr="00EF2B17">
        <w:t xml:space="preserve">. </w:t>
      </w:r>
      <w:r w:rsidR="00465707" w:rsidRPr="00EF2B17">
        <w:t xml:space="preserve">Voor scope 3 is de doelstelling om een </w:t>
      </w:r>
      <w:r w:rsidR="00F64C26" w:rsidRPr="00EF2B17">
        <w:t>CO2-reductie van</w:t>
      </w:r>
      <w:r w:rsidR="00465707" w:rsidRPr="00EF2B17">
        <w:t xml:space="preserve"> 30% per euro aangekochte goederen en diensten in 2030 ten opzichte van 2020</w:t>
      </w:r>
      <w:r w:rsidR="00371E8B" w:rsidRPr="00EF2B17">
        <w:t xml:space="preserve"> te realiseren. </w:t>
      </w:r>
      <w:r w:rsidRPr="00EF2B17">
        <w:t xml:space="preserve">Om deze doelstelling te realiseren hebben zij </w:t>
      </w:r>
      <w:r w:rsidR="00371B65" w:rsidRPr="00EF2B17">
        <w:t>per scope een groot aantal maatregelen opgesteld</w:t>
      </w:r>
      <w:r w:rsidR="006F629E" w:rsidRPr="00EF2B17">
        <w:t>, waarbij enkele worden genoemd hieronder:</w:t>
      </w:r>
    </w:p>
    <w:p w14:paraId="2281EA60" w14:textId="6734EF01" w:rsidR="008A1A6C" w:rsidRPr="00EF2B17" w:rsidRDefault="008A1A6C" w:rsidP="001E672D">
      <w:pPr>
        <w:pStyle w:val="Lijstalinea"/>
        <w:rPr>
          <w:i/>
          <w:iCs/>
        </w:rPr>
      </w:pPr>
      <w:r w:rsidRPr="00EF2B17">
        <w:rPr>
          <w:i/>
          <w:iCs/>
        </w:rPr>
        <w:t xml:space="preserve">Maatregelen scope 1: </w:t>
      </w:r>
    </w:p>
    <w:p w14:paraId="150A2F77" w14:textId="092D2AB8" w:rsidR="00B735F4" w:rsidRPr="00EF2B17" w:rsidRDefault="008A1A6C" w:rsidP="00523A24">
      <w:pPr>
        <w:pStyle w:val="Lijstalinea"/>
        <w:numPr>
          <w:ilvl w:val="0"/>
          <w:numId w:val="22"/>
        </w:numPr>
      </w:pPr>
      <w:r w:rsidRPr="00EF2B17">
        <w:t>Ontwikkelen stimuleringsbeleid voor keuze auto, aanschaf beperken van nieuwe personenauto’s kiezen voor een A of B label.</w:t>
      </w:r>
    </w:p>
    <w:p w14:paraId="7877A319" w14:textId="739B8E27" w:rsidR="00E55FD9" w:rsidRPr="00EF2B17" w:rsidRDefault="00E55FD9" w:rsidP="00523A24">
      <w:pPr>
        <w:pStyle w:val="Lijstalinea"/>
        <w:numPr>
          <w:ilvl w:val="0"/>
          <w:numId w:val="22"/>
        </w:numPr>
      </w:pPr>
      <w:r w:rsidRPr="00EF2B17">
        <w:t>Het nieuwe rijden stimuleren.</w:t>
      </w:r>
    </w:p>
    <w:p w14:paraId="062E769E" w14:textId="15F12889" w:rsidR="00E55FD9" w:rsidRPr="00EF2B17" w:rsidRDefault="00E55FD9" w:rsidP="001E672D">
      <w:pPr>
        <w:pStyle w:val="Lijstalinea"/>
        <w:numPr>
          <w:ilvl w:val="0"/>
          <w:numId w:val="22"/>
        </w:numPr>
      </w:pPr>
      <w:r w:rsidRPr="00EF2B17">
        <w:t>Waar mogelijk elektrisch rijden</w:t>
      </w:r>
    </w:p>
    <w:p w14:paraId="58A3D83E" w14:textId="1B5C02C3" w:rsidR="00E55FD9" w:rsidRPr="00EF2B17" w:rsidRDefault="00E55FD9" w:rsidP="006F629E">
      <w:pPr>
        <w:ind w:firstLine="708"/>
        <w:rPr>
          <w:i/>
          <w:iCs/>
        </w:rPr>
      </w:pPr>
      <w:r w:rsidRPr="00EF2B17">
        <w:rPr>
          <w:i/>
          <w:iCs/>
        </w:rPr>
        <w:t xml:space="preserve">Maatregelen scope 2: </w:t>
      </w:r>
    </w:p>
    <w:p w14:paraId="24B3D6BA" w14:textId="459492DE" w:rsidR="00B735F4" w:rsidRPr="00EF2B17" w:rsidRDefault="00E55FD9" w:rsidP="00523A24">
      <w:pPr>
        <w:pStyle w:val="Lijstalinea"/>
        <w:numPr>
          <w:ilvl w:val="0"/>
          <w:numId w:val="22"/>
        </w:numPr>
      </w:pPr>
      <w:r w:rsidRPr="00EF2B17">
        <w:t xml:space="preserve">Aanschaffen </w:t>
      </w:r>
      <w:proofErr w:type="gramStart"/>
      <w:r w:rsidRPr="00EF2B17">
        <w:t>LED verlichting</w:t>
      </w:r>
      <w:proofErr w:type="gramEnd"/>
      <w:r w:rsidRPr="00EF2B17">
        <w:t xml:space="preserve">  </w:t>
      </w:r>
    </w:p>
    <w:p w14:paraId="1531F927" w14:textId="35B949B6" w:rsidR="00E55FD9" w:rsidRPr="00EF2B17" w:rsidRDefault="00EE7891" w:rsidP="00523A24">
      <w:pPr>
        <w:pStyle w:val="Lijstalinea"/>
        <w:numPr>
          <w:ilvl w:val="0"/>
          <w:numId w:val="22"/>
        </w:numPr>
      </w:pPr>
      <w:r w:rsidRPr="00EF2B17">
        <w:t>Overstappen naar 100% groene stroom</w:t>
      </w:r>
    </w:p>
    <w:p w14:paraId="118C522B" w14:textId="645A0D81" w:rsidR="00D777E6" w:rsidRPr="00EF2B17" w:rsidRDefault="00EE7891" w:rsidP="001E672D">
      <w:pPr>
        <w:pStyle w:val="Lijstalinea"/>
        <w:numPr>
          <w:ilvl w:val="0"/>
          <w:numId w:val="22"/>
        </w:numPr>
      </w:pPr>
      <w:r w:rsidRPr="00EF2B17">
        <w:t>Bij vervanging van laptops en beeldschermen energiezuinige apparatuur aanschaffen</w:t>
      </w:r>
      <w:r w:rsidR="00D777E6" w:rsidRPr="00EF2B17">
        <w:t>.</w:t>
      </w:r>
    </w:p>
    <w:p w14:paraId="3062E54F" w14:textId="2C31BC20" w:rsidR="006F629E" w:rsidRPr="00EF2B17" w:rsidRDefault="006F629E" w:rsidP="00D777E6">
      <w:pPr>
        <w:ind w:left="360" w:firstLine="348"/>
        <w:rPr>
          <w:i/>
          <w:iCs/>
        </w:rPr>
      </w:pPr>
      <w:r w:rsidRPr="00EF2B17">
        <w:rPr>
          <w:i/>
          <w:iCs/>
        </w:rPr>
        <w:t>Maatregelen scope 3:</w:t>
      </w:r>
    </w:p>
    <w:p w14:paraId="3C1AE835" w14:textId="5C4ED4CA" w:rsidR="006F629E" w:rsidRPr="00EF2B17" w:rsidRDefault="001331CB" w:rsidP="00523A24">
      <w:pPr>
        <w:pStyle w:val="Lijstalinea"/>
        <w:numPr>
          <w:ilvl w:val="0"/>
          <w:numId w:val="22"/>
        </w:numPr>
      </w:pPr>
      <w:r w:rsidRPr="00EF2B17">
        <w:t>Zuiniger rijden</w:t>
      </w:r>
    </w:p>
    <w:p w14:paraId="3B853391" w14:textId="3B09F9B1" w:rsidR="001331CB" w:rsidRPr="00EF2B17" w:rsidRDefault="001331CB" w:rsidP="00523A24">
      <w:pPr>
        <w:pStyle w:val="Lijstalinea"/>
        <w:numPr>
          <w:ilvl w:val="0"/>
          <w:numId w:val="22"/>
        </w:numPr>
      </w:pPr>
      <w:r w:rsidRPr="00EF2B17">
        <w:t>Is de planning van de ritten/ bezetting/inzet vrachtwagen optimaal</w:t>
      </w:r>
    </w:p>
    <w:p w14:paraId="2E90C51F" w14:textId="77777777" w:rsidR="00EE7891" w:rsidRPr="00A134AE" w:rsidRDefault="00EE7891" w:rsidP="00D777E6">
      <w:pPr>
        <w:pStyle w:val="Lijstalinea"/>
        <w:ind w:left="1440"/>
        <w:rPr>
          <w:color w:val="ED7D31" w:themeColor="accent2"/>
        </w:rPr>
      </w:pPr>
    </w:p>
    <w:p w14:paraId="22416E92" w14:textId="2F6267C4" w:rsidR="00B735F4" w:rsidRPr="0083077A" w:rsidRDefault="00B735F4" w:rsidP="00523A24">
      <w:pPr>
        <w:pStyle w:val="Lijstalinea"/>
        <w:numPr>
          <w:ilvl w:val="0"/>
          <w:numId w:val="13"/>
        </w:numPr>
        <w:spacing w:before="240" w:after="240" w:line="276" w:lineRule="auto"/>
        <w:jc w:val="left"/>
      </w:pPr>
      <w:r w:rsidRPr="0083077A">
        <w:rPr>
          <w:b/>
        </w:rPr>
        <w:t>Sectorgenoot 2 | KSP Kunstgras</w:t>
      </w:r>
      <w:r w:rsidRPr="0083077A">
        <w:rPr>
          <w:b/>
        </w:rPr>
        <w:br/>
      </w:r>
      <w:r w:rsidRPr="0083077A">
        <w:t xml:space="preserve">Zij zijn niveau 5 gecertificeerd en hebben als doel gesteld om </w:t>
      </w:r>
      <w:r w:rsidR="006476A7" w:rsidRPr="0083077A">
        <w:t>31</w:t>
      </w:r>
      <w:r w:rsidRPr="0083077A">
        <w:t>% CO</w:t>
      </w:r>
      <w:r w:rsidRPr="0083077A">
        <w:rPr>
          <w:vertAlign w:val="subscript"/>
        </w:rPr>
        <w:t>2</w:t>
      </w:r>
      <w:r w:rsidRPr="0083077A">
        <w:t xml:space="preserve"> op scope 1 en 100% op scope 2 te reduceren</w:t>
      </w:r>
      <w:r w:rsidR="000C156D" w:rsidRPr="0083077A">
        <w:t xml:space="preserve"> in 2024 ten opzichte van </w:t>
      </w:r>
      <w:r w:rsidR="00973FDA" w:rsidRPr="0083077A">
        <w:t xml:space="preserve">2018. Voor scope 3 willen zij in 2023 10% </w:t>
      </w:r>
      <w:proofErr w:type="gramStart"/>
      <w:r w:rsidR="00ED6F74" w:rsidRPr="0083077A">
        <w:t>ECO line</w:t>
      </w:r>
      <w:proofErr w:type="gramEnd"/>
      <w:r w:rsidR="00ED6F74" w:rsidRPr="0083077A">
        <w:t xml:space="preserve"> kunstgras</w:t>
      </w:r>
      <w:r w:rsidR="009E795F" w:rsidRPr="0083077A">
        <w:t xml:space="preserve"> </w:t>
      </w:r>
      <w:r w:rsidR="00ED6F74" w:rsidRPr="0083077A">
        <w:t>aanleggen t.o.v. 2021.</w:t>
      </w:r>
      <w:r w:rsidRPr="0083077A">
        <w:t xml:space="preserve"> Om deze doelstelling te realiseren hebben zij de volgende maatregelen genomen:</w:t>
      </w:r>
    </w:p>
    <w:p w14:paraId="433B9814" w14:textId="77777777" w:rsidR="00B735F4" w:rsidRPr="0083077A" w:rsidRDefault="00B735F4" w:rsidP="00B735F4">
      <w:pPr>
        <w:pStyle w:val="Lijstalinea"/>
        <w:spacing w:before="240" w:after="240" w:line="276" w:lineRule="auto"/>
        <w:jc w:val="left"/>
      </w:pPr>
    </w:p>
    <w:p w14:paraId="60460437" w14:textId="21EF3CBB" w:rsidR="00B735F4" w:rsidRPr="0083077A" w:rsidRDefault="00B735F4" w:rsidP="00523A24">
      <w:pPr>
        <w:pStyle w:val="Lijstalinea"/>
        <w:numPr>
          <w:ilvl w:val="1"/>
          <w:numId w:val="13"/>
        </w:numPr>
        <w:spacing w:before="240" w:after="240" w:line="276" w:lineRule="auto"/>
      </w:pPr>
      <w:r w:rsidRPr="0083077A">
        <w:t>Overstap naar 100% groene stroom/opwek eigen energie (zonnepanelen plaatsen)</w:t>
      </w:r>
    </w:p>
    <w:p w14:paraId="791CA0B9" w14:textId="77777777" w:rsidR="00B735F4" w:rsidRPr="0083077A" w:rsidRDefault="00B735F4" w:rsidP="00523A24">
      <w:pPr>
        <w:pStyle w:val="Lijstalinea"/>
        <w:numPr>
          <w:ilvl w:val="1"/>
          <w:numId w:val="13"/>
        </w:numPr>
        <w:spacing w:before="240" w:after="240" w:line="276" w:lineRule="auto"/>
      </w:pPr>
      <w:r w:rsidRPr="0083077A">
        <w:t>Onderhoud volledig elektrisch uitvoeren</w:t>
      </w:r>
    </w:p>
    <w:p w14:paraId="5A4EC4E1" w14:textId="77777777" w:rsidR="00B735F4" w:rsidRPr="0083077A" w:rsidRDefault="00B735F4" w:rsidP="00523A24">
      <w:pPr>
        <w:pStyle w:val="Lijstalinea"/>
        <w:numPr>
          <w:ilvl w:val="1"/>
          <w:numId w:val="13"/>
        </w:numPr>
        <w:spacing w:before="240" w:after="240" w:line="276" w:lineRule="auto"/>
      </w:pPr>
      <w:r w:rsidRPr="0083077A">
        <w:t>BE-transportbussen vervangen voor euro 6</w:t>
      </w:r>
    </w:p>
    <w:p w14:paraId="1AE3C654" w14:textId="77777777" w:rsidR="00B735F4" w:rsidRPr="0083077A" w:rsidRDefault="00B735F4" w:rsidP="00523A24">
      <w:pPr>
        <w:pStyle w:val="Lijstalinea"/>
        <w:numPr>
          <w:ilvl w:val="1"/>
          <w:numId w:val="13"/>
        </w:numPr>
        <w:spacing w:before="240" w:after="240" w:line="276" w:lineRule="auto"/>
      </w:pPr>
      <w:r w:rsidRPr="0083077A">
        <w:t>Aanschaffen elektrische shovel(s)</w:t>
      </w:r>
    </w:p>
    <w:p w14:paraId="385A4E84" w14:textId="4A38FF35" w:rsidR="00940DCF" w:rsidRPr="0083077A" w:rsidRDefault="00B735F4" w:rsidP="001E672D">
      <w:pPr>
        <w:pStyle w:val="Lijstalinea"/>
        <w:numPr>
          <w:ilvl w:val="1"/>
          <w:numId w:val="13"/>
        </w:numPr>
        <w:spacing w:before="240" w:after="240" w:line="276" w:lineRule="auto"/>
      </w:pPr>
      <w:r w:rsidRPr="0083077A">
        <w:t>Aanschaffen elektrische scooter</w:t>
      </w:r>
    </w:p>
    <w:p w14:paraId="7B82F431" w14:textId="15FA83F3" w:rsidR="00940DCF" w:rsidRPr="00CB1565" w:rsidRDefault="00940DCF" w:rsidP="00940DCF">
      <w:pPr>
        <w:pStyle w:val="Kop3"/>
      </w:pPr>
      <w:bookmarkStart w:id="100" w:name="_Toc17187876"/>
      <w:bookmarkStart w:id="101" w:name="_Toc90908441"/>
      <w:bookmarkStart w:id="102" w:name="_Toc118736250"/>
      <w:bookmarkStart w:id="103" w:name="_Toc142472134"/>
      <w:r>
        <w:t>SKAO</w:t>
      </w:r>
      <w:bookmarkEnd w:id="100"/>
      <w:bookmarkEnd w:id="101"/>
      <w:bookmarkEnd w:id="102"/>
      <w:r w:rsidR="00D33DC7">
        <w:t xml:space="preserve"> maatregellijst</w:t>
      </w:r>
      <w:bookmarkEnd w:id="103"/>
    </w:p>
    <w:p w14:paraId="2ADB1FA9" w14:textId="233E5E79" w:rsidR="008E7BC0" w:rsidRPr="00CA3267" w:rsidRDefault="6E2D956B" w:rsidP="0CDF63E4">
      <w:r w:rsidRPr="00CA3267">
        <w:t xml:space="preserve">De algemene conclusie naar aanleiding van de maatregellijst is dat de organisatie vrij vooruitstrevend is op het gebied van </w:t>
      </w:r>
      <w:r w:rsidR="2491C664" w:rsidRPr="00CA3267">
        <w:t>kantoren en materieel.</w:t>
      </w:r>
      <w:r w:rsidR="00EB0473" w:rsidRPr="00CA3267">
        <w:t xml:space="preserve"> Dit komt door het vernieuwde kantoorgebouw en de aanwezigheid van laadpalen.</w:t>
      </w:r>
      <w:r w:rsidR="2491C664" w:rsidRPr="00CA3267">
        <w:t xml:space="preserve"> Echter zijn er nog voldoende maatregelen te nemen om fossiel verbruik te verminderen, zoals </w:t>
      </w:r>
      <w:r w:rsidR="54194A68" w:rsidRPr="00CA3267">
        <w:t>door het toepassen van volledig elektrisch materieel en het gebruik van biobrandstoffen.</w:t>
      </w:r>
      <w:r w:rsidR="00B402B7" w:rsidRPr="00CA3267">
        <w:t xml:space="preserve"> </w:t>
      </w:r>
    </w:p>
    <w:p w14:paraId="7AFA1570" w14:textId="2A3EA698" w:rsidR="0CDF63E4" w:rsidRDefault="0CDF63E4"/>
    <w:p w14:paraId="335A6093" w14:textId="77777777" w:rsidR="008E7BC0" w:rsidRDefault="008E7BC0" w:rsidP="008E7BC0">
      <w:pPr>
        <w:pStyle w:val="Kop2"/>
      </w:pPr>
      <w:bookmarkStart w:id="104" w:name="_CO2-reductiedoelstellingen_en_voort"/>
      <w:bookmarkStart w:id="105" w:name="_Toc118736245"/>
      <w:bookmarkStart w:id="106" w:name="_Toc142472135"/>
      <w:bookmarkEnd w:id="104"/>
      <w:r w:rsidRPr="006C3145">
        <w:lastRenderedPageBreak/>
        <w:t>CO</w:t>
      </w:r>
      <w:r w:rsidRPr="006C3145">
        <w:rPr>
          <w:vertAlign w:val="subscript"/>
        </w:rPr>
        <w:t>2</w:t>
      </w:r>
      <w:r>
        <w:t>-reductiedoelstellingen</w:t>
      </w:r>
      <w:r w:rsidR="00537C68">
        <w:t xml:space="preserve"> en voortgang</w:t>
      </w:r>
      <w:bookmarkEnd w:id="105"/>
      <w:bookmarkEnd w:id="106"/>
    </w:p>
    <w:p w14:paraId="2D37BA80" w14:textId="77777777" w:rsidR="00D8036F" w:rsidRDefault="00D8036F" w:rsidP="00D8036F">
      <w:r>
        <w:t xml:space="preserve">Onderstaande doelstellingen zijn </w:t>
      </w:r>
      <w:r w:rsidR="00421BEB">
        <w:t xml:space="preserve">gebaseerd op </w:t>
      </w:r>
      <w:r w:rsidR="00421BEB" w:rsidRPr="006C3145">
        <w:t>CO</w:t>
      </w:r>
      <w:r w:rsidR="00421BEB" w:rsidRPr="006C3145">
        <w:rPr>
          <w:vertAlign w:val="subscript"/>
        </w:rPr>
        <w:t>2</w:t>
      </w:r>
      <w:r w:rsidR="00421BEB">
        <w:t>-reductiemaatregelen die te vinden zijn in het plan van aanpak</w:t>
      </w:r>
      <w:r w:rsidR="009D021B">
        <w:t xml:space="preserve"> in het Excel document “</w:t>
      </w:r>
      <w:r w:rsidR="0051215E">
        <w:t>Acties, planning en verantwoordelijkheden</w:t>
      </w:r>
      <w:r w:rsidR="009D021B">
        <w:t>”. Hier staa</w:t>
      </w:r>
      <w:r w:rsidR="007D68F8">
        <w:t>n</w:t>
      </w:r>
      <w:r w:rsidR="009D021B">
        <w:t xml:space="preserve"> </w:t>
      </w:r>
      <w:proofErr w:type="gramStart"/>
      <w:r w:rsidR="009D021B">
        <w:t>tevens</w:t>
      </w:r>
      <w:proofErr w:type="gramEnd"/>
      <w:r w:rsidR="009D021B">
        <w:t xml:space="preserve"> de doorberekening</w:t>
      </w:r>
      <w:r w:rsidR="007D68F8">
        <w:t>en</w:t>
      </w:r>
      <w:r w:rsidR="009D021B">
        <w:t xml:space="preserve"> van de scope 1</w:t>
      </w:r>
      <w:r w:rsidR="00F96DDD">
        <w:t>,</w:t>
      </w:r>
      <w:r w:rsidR="009D021B">
        <w:t xml:space="preserve"> 2 </w:t>
      </w:r>
      <w:r w:rsidR="00F96DDD">
        <w:t xml:space="preserve">en business </w:t>
      </w:r>
      <w:proofErr w:type="spellStart"/>
      <w:r w:rsidR="00F96DDD">
        <w:t>travel</w:t>
      </w:r>
      <w:proofErr w:type="spellEnd"/>
      <w:r w:rsidR="00F96DDD">
        <w:t xml:space="preserve"> </w:t>
      </w:r>
      <w:r w:rsidR="007D68F8">
        <w:t xml:space="preserve">doelstellingen. </w:t>
      </w:r>
    </w:p>
    <w:p w14:paraId="4DFA84D6" w14:textId="77777777" w:rsidR="00D8036F" w:rsidRPr="00D8036F" w:rsidRDefault="00D8036F" w:rsidP="00D8036F"/>
    <w:p w14:paraId="1EC6D265" w14:textId="77777777" w:rsidR="009E5008" w:rsidRPr="003F4B28" w:rsidRDefault="009E5008" w:rsidP="003F4B28">
      <w:pPr>
        <w:pStyle w:val="Kop3"/>
      </w:pPr>
      <w:bookmarkStart w:id="107" w:name="_Toc118736246"/>
      <w:bookmarkStart w:id="108" w:name="_Toc142472136"/>
      <w:r w:rsidRPr="003F4B28">
        <w:t>Hoofddoelstelling</w:t>
      </w:r>
      <w:bookmarkEnd w:id="107"/>
      <w:bookmarkEnd w:id="108"/>
    </w:p>
    <w:p w14:paraId="4C823F90" w14:textId="77777777" w:rsidR="00B46AE2" w:rsidRDefault="00B46AE2" w:rsidP="00B052A5">
      <w:pPr>
        <w:rPr>
          <w:color w:val="ED7D31" w:themeColor="accent2"/>
        </w:rPr>
      </w:pPr>
    </w:p>
    <w:tbl>
      <w:tblPr>
        <w:tblStyle w:val="Tabelraster"/>
        <w:tblW w:w="932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9322"/>
      </w:tblGrid>
      <w:tr w:rsidR="00B46AE2" w:rsidRPr="00DB3A2A" w14:paraId="4E13DDD3" w14:textId="77777777" w:rsidTr="0CDF63E4">
        <w:trPr>
          <w:trHeight w:val="425"/>
        </w:trPr>
        <w:tc>
          <w:tcPr>
            <w:tcW w:w="932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6ABE93"/>
            <w:vAlign w:val="center"/>
          </w:tcPr>
          <w:p w14:paraId="3BCD4D1B" w14:textId="77777777" w:rsidR="00B46AE2" w:rsidRPr="00DB3A2A" w:rsidRDefault="00F96DDD">
            <w:pPr>
              <w:spacing w:line="276" w:lineRule="auto"/>
              <w:jc w:val="center"/>
              <w:rPr>
                <w:b/>
                <w:bCs/>
                <w:color w:val="000000" w:themeColor="text1"/>
                <w:szCs w:val="20"/>
              </w:rPr>
            </w:pPr>
            <w:r>
              <w:rPr>
                <w:b/>
                <w:caps/>
                <w:color w:val="000000" w:themeColor="text1"/>
              </w:rPr>
              <w:t>HOOFD</w:t>
            </w:r>
            <w:r w:rsidR="00B46AE2" w:rsidRPr="00DB3A2A">
              <w:rPr>
                <w:b/>
                <w:caps/>
                <w:color w:val="000000" w:themeColor="text1"/>
              </w:rPr>
              <w:t xml:space="preserve">doelstelling </w:t>
            </w:r>
            <w:r>
              <w:rPr>
                <w:b/>
                <w:caps/>
                <w:color w:val="000000" w:themeColor="text1"/>
              </w:rPr>
              <w:t xml:space="preserve"> SCOPE 1 en 2</w:t>
            </w:r>
          </w:p>
        </w:tc>
      </w:tr>
      <w:tr w:rsidR="00B46AE2" w:rsidRPr="00DB3A2A" w14:paraId="6DA25E69" w14:textId="77777777" w:rsidTr="0CDF63E4">
        <w:tc>
          <w:tcPr>
            <w:tcW w:w="9322" w:type="dxa"/>
            <w:tcBorders>
              <w:top w:val="single" w:sz="36" w:space="0" w:color="FFFFFF" w:themeColor="background1"/>
            </w:tcBorders>
            <w:shd w:val="clear" w:color="auto" w:fill="F2F2F2" w:themeFill="background1" w:themeFillShade="F2"/>
          </w:tcPr>
          <w:p w14:paraId="6B31B966" w14:textId="27A6EB48" w:rsidR="00B46AE2" w:rsidRPr="00B46AE2" w:rsidRDefault="454111CC">
            <w:pPr>
              <w:spacing w:line="276" w:lineRule="auto"/>
              <w:jc w:val="center"/>
              <w:rPr>
                <w:color w:val="000000" w:themeColor="text1"/>
              </w:rPr>
            </w:pPr>
            <w:r w:rsidRPr="0CDF63E4">
              <w:rPr>
                <w:sz w:val="18"/>
                <w:szCs w:val="18"/>
              </w:rPr>
              <w:t xml:space="preserve">Finovi </w:t>
            </w:r>
            <w:r w:rsidR="16DC4D9A" w:rsidRPr="0CDF63E4">
              <w:rPr>
                <w:color w:val="000000" w:themeColor="text1"/>
                <w:sz w:val="18"/>
                <w:szCs w:val="18"/>
              </w:rPr>
              <w:t>wil in 20</w:t>
            </w:r>
            <w:r w:rsidR="0EFB32FD" w:rsidRPr="0CDF63E4">
              <w:rPr>
                <w:color w:val="000000" w:themeColor="text1"/>
                <w:sz w:val="18"/>
                <w:szCs w:val="18"/>
              </w:rPr>
              <w:t>26</w:t>
            </w:r>
            <w:r w:rsidR="16DC4D9A" w:rsidRPr="0CDF63E4">
              <w:rPr>
                <w:color w:val="000000" w:themeColor="text1"/>
                <w:sz w:val="18"/>
                <w:szCs w:val="18"/>
              </w:rPr>
              <w:t xml:space="preserve"> ten opzichte van </w:t>
            </w:r>
            <w:r w:rsidR="0EFB32FD" w:rsidRPr="0CDF63E4">
              <w:rPr>
                <w:color w:val="000000" w:themeColor="text1"/>
                <w:sz w:val="18"/>
                <w:szCs w:val="18"/>
              </w:rPr>
              <w:t>2021</w:t>
            </w:r>
            <w:r w:rsidR="00595DE4">
              <w:rPr>
                <w:color w:val="000000" w:themeColor="text1"/>
                <w:sz w:val="18"/>
                <w:szCs w:val="18"/>
              </w:rPr>
              <w:t xml:space="preserve"> </w:t>
            </w:r>
            <w:r w:rsidR="0085660F">
              <w:rPr>
                <w:color w:val="000000" w:themeColor="text1"/>
                <w:sz w:val="18"/>
                <w:szCs w:val="18"/>
              </w:rPr>
              <w:t>55</w:t>
            </w:r>
            <w:r w:rsidR="16DC4D9A" w:rsidRPr="0CDF63E4">
              <w:rPr>
                <w:color w:val="000000" w:themeColor="text1"/>
                <w:sz w:val="18"/>
                <w:szCs w:val="18"/>
              </w:rPr>
              <w:t>%</w:t>
            </w:r>
            <w:r w:rsidR="005F68B1">
              <w:rPr>
                <w:color w:val="000000" w:themeColor="text1"/>
                <w:sz w:val="18"/>
                <w:szCs w:val="18"/>
              </w:rPr>
              <w:t xml:space="preserve"> </w:t>
            </w:r>
            <w:r w:rsidR="16DC4D9A" w:rsidRPr="0CDF63E4">
              <w:rPr>
                <w:color w:val="000000" w:themeColor="text1"/>
                <w:sz w:val="18"/>
                <w:szCs w:val="18"/>
              </w:rPr>
              <w:t>minder CO</w:t>
            </w:r>
            <w:r w:rsidR="16DC4D9A" w:rsidRPr="0CDF63E4">
              <w:rPr>
                <w:color w:val="000000" w:themeColor="text1"/>
                <w:sz w:val="18"/>
                <w:szCs w:val="18"/>
                <w:vertAlign w:val="subscript"/>
              </w:rPr>
              <w:t>2</w:t>
            </w:r>
            <w:r w:rsidR="16DC4D9A" w:rsidRPr="0CDF63E4">
              <w:rPr>
                <w:color w:val="000000" w:themeColor="text1"/>
                <w:sz w:val="18"/>
                <w:szCs w:val="18"/>
              </w:rPr>
              <w:t xml:space="preserve"> uitstoten</w:t>
            </w:r>
            <w:r w:rsidR="005B1065" w:rsidRPr="0CDF63E4">
              <w:rPr>
                <w:color w:val="000000" w:themeColor="text1"/>
                <w:sz w:val="18"/>
                <w:szCs w:val="18"/>
              </w:rPr>
              <w:t>.</w:t>
            </w:r>
          </w:p>
        </w:tc>
      </w:tr>
    </w:tbl>
    <w:p w14:paraId="63A66634" w14:textId="77777777" w:rsidR="00595DE4" w:rsidRDefault="00595DE4" w:rsidP="00B052A5">
      <w:pPr>
        <w:rPr>
          <w:color w:val="ED7D31" w:themeColor="accent2"/>
        </w:rPr>
      </w:pPr>
    </w:p>
    <w:p w14:paraId="7841D05D" w14:textId="586C0773" w:rsidR="00F162E0" w:rsidRDefault="009F3F38" w:rsidP="0CDF63E4">
      <w:pPr>
        <w:rPr>
          <w:color w:val="000000" w:themeColor="text1"/>
        </w:rPr>
      </w:pPr>
      <w:r w:rsidRPr="0CDF63E4">
        <w:rPr>
          <w:color w:val="000000" w:themeColor="text1"/>
        </w:rPr>
        <w:t xml:space="preserve">Bovengenoemde doelstelling </w:t>
      </w:r>
      <w:r w:rsidR="0DF5EBDA" w:rsidRPr="0CDF63E4">
        <w:rPr>
          <w:color w:val="000000" w:themeColor="text1"/>
        </w:rPr>
        <w:t>en in</w:t>
      </w:r>
      <w:r w:rsidR="00CE4C6A">
        <w:rPr>
          <w:color w:val="000000" w:themeColor="text1"/>
        </w:rPr>
        <w:t xml:space="preserve"> 5</w:t>
      </w:r>
      <w:r w:rsidR="0DF5EBDA" w:rsidRPr="0CDF63E4">
        <w:rPr>
          <w:color w:val="000000" w:themeColor="text1"/>
        </w:rPr>
        <w:t xml:space="preserve">.2.2 genoemde subdoelstellingen </w:t>
      </w:r>
      <w:r w:rsidRPr="0CDF63E4">
        <w:rPr>
          <w:color w:val="000000" w:themeColor="text1"/>
        </w:rPr>
        <w:t xml:space="preserve">worden vanwege de flinke groei van </w:t>
      </w:r>
      <w:r w:rsidR="00C8616F" w:rsidRPr="0CDF63E4">
        <w:rPr>
          <w:color w:val="000000" w:themeColor="text1"/>
        </w:rPr>
        <w:t>Fino</w:t>
      </w:r>
      <w:r w:rsidR="0630E8C0" w:rsidRPr="0CDF63E4">
        <w:rPr>
          <w:color w:val="000000" w:themeColor="text1"/>
        </w:rPr>
        <w:t>vi</w:t>
      </w:r>
      <w:r w:rsidRPr="0CDF63E4">
        <w:rPr>
          <w:color w:val="000000" w:themeColor="text1"/>
        </w:rPr>
        <w:t xml:space="preserve"> gerelateerd aan de omzet.</w:t>
      </w:r>
    </w:p>
    <w:p w14:paraId="10A88D00" w14:textId="77777777" w:rsidR="009468E6" w:rsidRDefault="009468E6" w:rsidP="0CDF63E4">
      <w:pPr>
        <w:rPr>
          <w:color w:val="000000" w:themeColor="text1"/>
        </w:rPr>
      </w:pPr>
    </w:p>
    <w:tbl>
      <w:tblPr>
        <w:tblStyle w:val="Tabelraster"/>
        <w:tblW w:w="9316" w:type="dxa"/>
        <w:tblInd w:w="-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5194"/>
        <w:gridCol w:w="4122"/>
      </w:tblGrid>
      <w:tr w:rsidR="00FF6D88" w:rsidRPr="006B3CC2" w14:paraId="23283BE3" w14:textId="77777777" w:rsidTr="009D1BAC">
        <w:trPr>
          <w:trHeight w:val="464"/>
        </w:trPr>
        <w:tc>
          <w:tcPr>
            <w:tcW w:w="9316"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6BBE93"/>
            <w:vAlign w:val="center"/>
          </w:tcPr>
          <w:p w14:paraId="0FE36F0F" w14:textId="77777777" w:rsidR="00A064A0" w:rsidRPr="006B3CC2" w:rsidRDefault="009D1BAC">
            <w:pPr>
              <w:spacing w:line="276" w:lineRule="auto"/>
              <w:jc w:val="center"/>
              <w:rPr>
                <w:b/>
                <w:caps/>
                <w:color w:val="000000" w:themeColor="text1"/>
                <w:szCs w:val="20"/>
              </w:rPr>
            </w:pPr>
            <w:r>
              <w:rPr>
                <w:b/>
                <w:caps/>
                <w:color w:val="000000" w:themeColor="text1"/>
                <w:szCs w:val="20"/>
              </w:rPr>
              <w:t>JAARLIJKSE DOELSTELLING</w:t>
            </w:r>
            <w:r w:rsidR="00F96DDD">
              <w:rPr>
                <w:b/>
                <w:caps/>
                <w:color w:val="000000" w:themeColor="text1"/>
                <w:szCs w:val="20"/>
              </w:rPr>
              <w:t xml:space="preserve"> scope 1 en 2</w:t>
            </w:r>
          </w:p>
        </w:tc>
      </w:tr>
      <w:tr w:rsidR="0063672A" w:rsidRPr="00005E99" w14:paraId="00FCC610" w14:textId="77777777" w:rsidTr="001306FA">
        <w:trPr>
          <w:trHeight w:val="283"/>
        </w:trPr>
        <w:tc>
          <w:tcPr>
            <w:tcW w:w="5194" w:type="dxa"/>
            <w:tcBorders>
              <w:top w:val="single" w:sz="36" w:space="0" w:color="FFFFFF" w:themeColor="background1"/>
              <w:bottom w:val="single" w:sz="36" w:space="0" w:color="FFFFFF" w:themeColor="background1"/>
            </w:tcBorders>
            <w:shd w:val="clear" w:color="auto" w:fill="F2F2F2" w:themeFill="background1" w:themeFillShade="F2"/>
          </w:tcPr>
          <w:p w14:paraId="598E3819" w14:textId="1F9BE6F0" w:rsidR="00957E17" w:rsidRPr="00005E99" w:rsidRDefault="00957E17" w:rsidP="00957E17">
            <w:pPr>
              <w:spacing w:line="276" w:lineRule="auto"/>
              <w:jc w:val="center"/>
              <w:rPr>
                <w:b/>
                <w:bCs/>
                <w:sz w:val="18"/>
                <w:szCs w:val="18"/>
              </w:rPr>
            </w:pPr>
            <w:r w:rsidRPr="00682248">
              <w:rPr>
                <w:b/>
                <w:bCs/>
                <w:sz w:val="18"/>
                <w:szCs w:val="18"/>
              </w:rPr>
              <w:t>20</w:t>
            </w:r>
            <w:r w:rsidR="004A39FA">
              <w:rPr>
                <w:b/>
                <w:bCs/>
                <w:sz w:val="18"/>
                <w:szCs w:val="18"/>
              </w:rPr>
              <w:t>22</w:t>
            </w:r>
          </w:p>
        </w:tc>
        <w:tc>
          <w:tcPr>
            <w:tcW w:w="4122"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400AFF9B" w14:textId="5E480DDA" w:rsidR="00957E17" w:rsidRPr="00005E99" w:rsidRDefault="009A2729" w:rsidP="00957E17">
            <w:pPr>
              <w:spacing w:line="276" w:lineRule="auto"/>
              <w:jc w:val="center"/>
              <w:rPr>
                <w:sz w:val="18"/>
                <w:szCs w:val="18"/>
              </w:rPr>
            </w:pPr>
            <w:r>
              <w:rPr>
                <w:sz w:val="18"/>
                <w:szCs w:val="18"/>
              </w:rPr>
              <w:t>11</w:t>
            </w:r>
            <w:r w:rsidR="004A39FA">
              <w:rPr>
                <w:sz w:val="18"/>
                <w:szCs w:val="18"/>
              </w:rPr>
              <w:t>%</w:t>
            </w:r>
          </w:p>
        </w:tc>
      </w:tr>
      <w:tr w:rsidR="0063672A" w:rsidRPr="00005E99" w14:paraId="16D6E33C" w14:textId="77777777" w:rsidTr="001306FA">
        <w:trPr>
          <w:trHeight w:val="283"/>
        </w:trPr>
        <w:tc>
          <w:tcPr>
            <w:tcW w:w="5194" w:type="dxa"/>
            <w:tcBorders>
              <w:top w:val="single" w:sz="36" w:space="0" w:color="FFFFFF" w:themeColor="background1"/>
              <w:bottom w:val="single" w:sz="36" w:space="0" w:color="FFFFFF" w:themeColor="background1"/>
            </w:tcBorders>
            <w:shd w:val="clear" w:color="auto" w:fill="F2F2F2" w:themeFill="background1" w:themeFillShade="F2"/>
          </w:tcPr>
          <w:p w14:paraId="7C4704BD" w14:textId="4E795E13" w:rsidR="00957E17" w:rsidRPr="00005E99" w:rsidRDefault="00957E17" w:rsidP="00957E17">
            <w:pPr>
              <w:spacing w:line="276" w:lineRule="auto"/>
              <w:jc w:val="center"/>
              <w:rPr>
                <w:b/>
                <w:bCs/>
                <w:sz w:val="18"/>
                <w:szCs w:val="18"/>
              </w:rPr>
            </w:pPr>
            <w:r w:rsidRPr="00682248">
              <w:rPr>
                <w:b/>
                <w:bCs/>
                <w:sz w:val="18"/>
                <w:szCs w:val="18"/>
              </w:rPr>
              <w:t>20</w:t>
            </w:r>
            <w:r w:rsidR="004A39FA">
              <w:rPr>
                <w:b/>
                <w:bCs/>
                <w:sz w:val="18"/>
                <w:szCs w:val="18"/>
              </w:rPr>
              <w:t>23</w:t>
            </w:r>
          </w:p>
        </w:tc>
        <w:tc>
          <w:tcPr>
            <w:tcW w:w="4122"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4B8DB7F4" w14:textId="3C247923" w:rsidR="00957E17" w:rsidRPr="00005E99" w:rsidRDefault="009A2729" w:rsidP="00957E17">
            <w:pPr>
              <w:spacing w:line="276" w:lineRule="auto"/>
              <w:jc w:val="center"/>
              <w:rPr>
                <w:sz w:val="18"/>
                <w:szCs w:val="18"/>
              </w:rPr>
            </w:pPr>
            <w:r>
              <w:rPr>
                <w:sz w:val="18"/>
                <w:szCs w:val="18"/>
              </w:rPr>
              <w:t>22</w:t>
            </w:r>
            <w:r w:rsidR="004A39FA">
              <w:rPr>
                <w:sz w:val="18"/>
                <w:szCs w:val="18"/>
              </w:rPr>
              <w:t>%</w:t>
            </w:r>
          </w:p>
        </w:tc>
      </w:tr>
      <w:tr w:rsidR="0063672A" w:rsidRPr="00005E99" w14:paraId="311768EC" w14:textId="77777777" w:rsidTr="001306FA">
        <w:trPr>
          <w:trHeight w:val="283"/>
        </w:trPr>
        <w:tc>
          <w:tcPr>
            <w:tcW w:w="5194" w:type="dxa"/>
            <w:tcBorders>
              <w:top w:val="single" w:sz="36" w:space="0" w:color="FFFFFF" w:themeColor="background1"/>
              <w:bottom w:val="single" w:sz="36" w:space="0" w:color="FFFFFF" w:themeColor="background1"/>
            </w:tcBorders>
            <w:shd w:val="clear" w:color="auto" w:fill="F2F2F2" w:themeFill="background1" w:themeFillShade="F2"/>
          </w:tcPr>
          <w:p w14:paraId="4CD8353C" w14:textId="4A5C046F" w:rsidR="00957E17" w:rsidRPr="00005E99" w:rsidRDefault="00957E17" w:rsidP="00957E17">
            <w:pPr>
              <w:spacing w:line="276" w:lineRule="auto"/>
              <w:jc w:val="center"/>
              <w:rPr>
                <w:b/>
                <w:bCs/>
                <w:sz w:val="18"/>
                <w:szCs w:val="18"/>
              </w:rPr>
            </w:pPr>
            <w:r w:rsidRPr="00682248">
              <w:rPr>
                <w:b/>
                <w:bCs/>
                <w:sz w:val="18"/>
                <w:szCs w:val="18"/>
              </w:rPr>
              <w:t>20</w:t>
            </w:r>
            <w:r w:rsidR="004A39FA">
              <w:rPr>
                <w:b/>
                <w:bCs/>
                <w:sz w:val="18"/>
                <w:szCs w:val="18"/>
              </w:rPr>
              <w:t>24</w:t>
            </w:r>
          </w:p>
        </w:tc>
        <w:tc>
          <w:tcPr>
            <w:tcW w:w="4122"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1D7F20BB" w14:textId="5C589A6D" w:rsidR="00957E17" w:rsidRPr="00005E99" w:rsidRDefault="009A2729" w:rsidP="00957E17">
            <w:pPr>
              <w:spacing w:line="276" w:lineRule="auto"/>
              <w:jc w:val="center"/>
              <w:rPr>
                <w:sz w:val="18"/>
                <w:szCs w:val="18"/>
              </w:rPr>
            </w:pPr>
            <w:r>
              <w:rPr>
                <w:sz w:val="18"/>
                <w:szCs w:val="18"/>
              </w:rPr>
              <w:t>33</w:t>
            </w:r>
            <w:r w:rsidR="00A2604A">
              <w:rPr>
                <w:sz w:val="18"/>
                <w:szCs w:val="18"/>
              </w:rPr>
              <w:t>%</w:t>
            </w:r>
          </w:p>
        </w:tc>
      </w:tr>
      <w:tr w:rsidR="0063672A" w:rsidRPr="00005E99" w14:paraId="51BBDC9F" w14:textId="77777777" w:rsidTr="001306FA">
        <w:trPr>
          <w:trHeight w:val="283"/>
        </w:trPr>
        <w:tc>
          <w:tcPr>
            <w:tcW w:w="5194" w:type="dxa"/>
            <w:tcBorders>
              <w:top w:val="single" w:sz="36" w:space="0" w:color="FFFFFF" w:themeColor="background1"/>
              <w:bottom w:val="single" w:sz="36" w:space="0" w:color="FFFFFF" w:themeColor="background1"/>
            </w:tcBorders>
            <w:shd w:val="clear" w:color="auto" w:fill="F2F2F2" w:themeFill="background1" w:themeFillShade="F2"/>
          </w:tcPr>
          <w:p w14:paraId="6A20E80B" w14:textId="387E6838" w:rsidR="00957E17" w:rsidRPr="00005E99" w:rsidRDefault="00957E17" w:rsidP="00957E17">
            <w:pPr>
              <w:spacing w:line="276" w:lineRule="auto"/>
              <w:jc w:val="center"/>
              <w:rPr>
                <w:b/>
                <w:bCs/>
                <w:sz w:val="18"/>
                <w:szCs w:val="18"/>
              </w:rPr>
            </w:pPr>
            <w:r w:rsidRPr="00682248">
              <w:rPr>
                <w:b/>
                <w:bCs/>
                <w:sz w:val="18"/>
                <w:szCs w:val="18"/>
              </w:rPr>
              <w:t>20</w:t>
            </w:r>
            <w:r w:rsidR="004A39FA">
              <w:rPr>
                <w:b/>
                <w:bCs/>
                <w:sz w:val="18"/>
                <w:szCs w:val="18"/>
              </w:rPr>
              <w:t>25</w:t>
            </w:r>
          </w:p>
        </w:tc>
        <w:tc>
          <w:tcPr>
            <w:tcW w:w="4122"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0B72E4B0" w14:textId="3B6F6939" w:rsidR="00957E17" w:rsidRPr="00005E99" w:rsidRDefault="009A2729" w:rsidP="00957E17">
            <w:pPr>
              <w:spacing w:line="276" w:lineRule="auto"/>
              <w:jc w:val="center"/>
              <w:rPr>
                <w:sz w:val="18"/>
                <w:szCs w:val="18"/>
              </w:rPr>
            </w:pPr>
            <w:r>
              <w:rPr>
                <w:sz w:val="18"/>
                <w:szCs w:val="18"/>
              </w:rPr>
              <w:t>44</w:t>
            </w:r>
            <w:r w:rsidR="00A2604A">
              <w:rPr>
                <w:sz w:val="18"/>
                <w:szCs w:val="18"/>
              </w:rPr>
              <w:t>%</w:t>
            </w:r>
          </w:p>
        </w:tc>
      </w:tr>
      <w:tr w:rsidR="0063672A" w:rsidRPr="00005E99" w14:paraId="1514737A" w14:textId="77777777" w:rsidTr="001306FA">
        <w:trPr>
          <w:trHeight w:val="283"/>
        </w:trPr>
        <w:tc>
          <w:tcPr>
            <w:tcW w:w="5194" w:type="dxa"/>
            <w:tcBorders>
              <w:top w:val="single" w:sz="36" w:space="0" w:color="FFFFFF" w:themeColor="background1"/>
              <w:bottom w:val="single" w:sz="36" w:space="0" w:color="FFFFFF" w:themeColor="background1"/>
            </w:tcBorders>
            <w:shd w:val="clear" w:color="auto" w:fill="F2F2F2" w:themeFill="background1" w:themeFillShade="F2"/>
          </w:tcPr>
          <w:p w14:paraId="2F0BB1CE" w14:textId="35890FE0" w:rsidR="00957E17" w:rsidRPr="00005E99" w:rsidRDefault="00957E17" w:rsidP="00957E17">
            <w:pPr>
              <w:spacing w:line="276" w:lineRule="auto"/>
              <w:jc w:val="center"/>
              <w:rPr>
                <w:b/>
                <w:bCs/>
                <w:sz w:val="18"/>
                <w:szCs w:val="18"/>
              </w:rPr>
            </w:pPr>
            <w:r w:rsidRPr="00682248">
              <w:rPr>
                <w:b/>
                <w:bCs/>
                <w:sz w:val="18"/>
                <w:szCs w:val="18"/>
              </w:rPr>
              <w:t>20</w:t>
            </w:r>
            <w:r w:rsidR="004A39FA">
              <w:rPr>
                <w:b/>
                <w:bCs/>
                <w:sz w:val="18"/>
                <w:szCs w:val="18"/>
              </w:rPr>
              <w:t>26</w:t>
            </w:r>
          </w:p>
        </w:tc>
        <w:tc>
          <w:tcPr>
            <w:tcW w:w="4122"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6EB0F0D8" w14:textId="43374C1A" w:rsidR="00957E17" w:rsidRPr="00005E99" w:rsidRDefault="009A2729" w:rsidP="00597184">
            <w:pPr>
              <w:spacing w:line="276" w:lineRule="auto"/>
              <w:jc w:val="center"/>
              <w:rPr>
                <w:sz w:val="18"/>
                <w:szCs w:val="18"/>
              </w:rPr>
            </w:pPr>
            <w:r>
              <w:rPr>
                <w:sz w:val="18"/>
                <w:szCs w:val="18"/>
              </w:rPr>
              <w:t>55</w:t>
            </w:r>
            <w:r w:rsidR="00597184">
              <w:rPr>
                <w:sz w:val="18"/>
                <w:szCs w:val="18"/>
              </w:rPr>
              <w:t>%</w:t>
            </w:r>
          </w:p>
        </w:tc>
      </w:tr>
    </w:tbl>
    <w:p w14:paraId="00F29A2E" w14:textId="77777777" w:rsidR="00BD10F1" w:rsidRDefault="00BD10F1" w:rsidP="00BD10F1">
      <w:pPr>
        <w:rPr>
          <w:color w:val="ED7D31" w:themeColor="accent2"/>
        </w:rPr>
      </w:pPr>
    </w:p>
    <w:p w14:paraId="19680B31" w14:textId="2F8405FC" w:rsidR="00D961B7" w:rsidRDefault="3E758708" w:rsidP="3A79F79B">
      <w:r>
        <w:rPr>
          <w:noProof/>
        </w:rPr>
        <w:drawing>
          <wp:inline distT="0" distB="0" distL="0" distR="0" wp14:anchorId="1F0E3710" wp14:editId="78B80D63">
            <wp:extent cx="5480779" cy="3286029"/>
            <wp:effectExtent l="0" t="0" r="0" b="0"/>
            <wp:docPr id="1501033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3311" name="Picture 150103311"/>
                    <pic:cNvPicPr/>
                  </pic:nvPicPr>
                  <pic:blipFill>
                    <a:blip r:embed="rId21">
                      <a:extLst>
                        <a:ext uri="{28A0092B-C50C-407E-A947-70E740481C1C}">
                          <a14:useLocalDpi xmlns:a14="http://schemas.microsoft.com/office/drawing/2010/main"/>
                        </a:ext>
                      </a:extLst>
                    </a:blip>
                    <a:stretch>
                      <a:fillRect/>
                    </a:stretch>
                  </pic:blipFill>
                  <pic:spPr>
                    <a:xfrm>
                      <a:off x="0" y="0"/>
                      <a:ext cx="5480779" cy="3286029"/>
                    </a:xfrm>
                    <a:prstGeom prst="rect">
                      <a:avLst/>
                    </a:prstGeom>
                  </pic:spPr>
                </pic:pic>
              </a:graphicData>
            </a:graphic>
          </wp:inline>
        </w:drawing>
      </w:r>
    </w:p>
    <w:p w14:paraId="518CA4B2" w14:textId="77777777" w:rsidR="00D4031C" w:rsidRDefault="00D4031C" w:rsidP="00B052A5"/>
    <w:p w14:paraId="4E0B92A1" w14:textId="35B98F03" w:rsidR="00992EDB" w:rsidRPr="009A2729" w:rsidRDefault="00C776B2" w:rsidP="009A2729">
      <w:r w:rsidRPr="009A2729">
        <w:t xml:space="preserve">De </w:t>
      </w:r>
      <w:r w:rsidR="00ED2B08" w:rsidRPr="009A2729">
        <w:t xml:space="preserve">absolute voortgang en relatieve voortgang zijn weergegeven in bovenstaande lijndiagram, waarbij de vergelijking is gemaakt in stijging/daling ten opzichte van het basisjaar 2021. Ondanks dat de uitstoot in absolute zin is gestegen met </w:t>
      </w:r>
      <w:r w:rsidR="009A3854" w:rsidRPr="009A2729">
        <w:t>36</w:t>
      </w:r>
      <w:r w:rsidR="00ED2B08" w:rsidRPr="009A2729">
        <w:t>% sinds 2021</w:t>
      </w:r>
      <w:r w:rsidR="009A23FA" w:rsidRPr="009A2729">
        <w:t>,</w:t>
      </w:r>
      <w:r w:rsidR="00ED2B08" w:rsidRPr="009A2729">
        <w:t xml:space="preserve"> is de relati</w:t>
      </w:r>
      <w:r w:rsidR="00A20378" w:rsidRPr="009A2729">
        <w:t xml:space="preserve">eve uitstoot (gerelateerd aan omzet) met </w:t>
      </w:r>
      <w:r w:rsidR="0085660F" w:rsidRPr="009A2729">
        <w:t>48</w:t>
      </w:r>
      <w:r w:rsidR="00A20378" w:rsidRPr="009A2729">
        <w:t>% gedaald.</w:t>
      </w:r>
      <w:r w:rsidR="00992EDB" w:rsidRPr="009A2729">
        <w:t xml:space="preserve"> Dit zorgt ervoor dat de </w:t>
      </w:r>
      <w:r w:rsidR="009A2729" w:rsidRPr="009A2729">
        <w:t>tussen</w:t>
      </w:r>
      <w:r w:rsidR="00992EDB" w:rsidRPr="009A2729">
        <w:t>hoofddoelstelling in 202</w:t>
      </w:r>
      <w:r w:rsidR="0085660F" w:rsidRPr="009A2729">
        <w:t>5</w:t>
      </w:r>
      <w:r w:rsidR="00992EDB" w:rsidRPr="009A2729">
        <w:t xml:space="preserve"> is gehaald</w:t>
      </w:r>
      <w:r w:rsidR="009A2729" w:rsidRPr="009A2729">
        <w:t xml:space="preserve"> en dat de organisatie in lijn ligt om de doelstelling van 2026 te halen</w:t>
      </w:r>
      <w:r w:rsidR="00992EDB" w:rsidRPr="009A2729">
        <w:t xml:space="preserve">. </w:t>
      </w:r>
    </w:p>
    <w:p w14:paraId="326D343E" w14:textId="2AB048C6" w:rsidR="00992EDB" w:rsidRPr="009A2729" w:rsidRDefault="00A250B3" w:rsidP="009A2729">
      <w:r w:rsidRPr="009A2729">
        <w:t>De reden voor de</w:t>
      </w:r>
      <w:r w:rsidR="002F5586" w:rsidRPr="009A2729">
        <w:t xml:space="preserve"> daling in relatieve voortgang </w:t>
      </w:r>
      <w:r w:rsidR="00EF180D" w:rsidRPr="009A2729">
        <w:t xml:space="preserve">zal voor een deel </w:t>
      </w:r>
      <w:r w:rsidR="00E6240C" w:rsidRPr="009A2729">
        <w:t>toe te kennen</w:t>
      </w:r>
      <w:r w:rsidR="00EF180D" w:rsidRPr="009A2729">
        <w:t xml:space="preserve"> zijn aan de extreme groei in omzet.</w:t>
      </w:r>
      <w:r w:rsidR="00D17917" w:rsidRPr="009A2729">
        <w:t xml:space="preserve"> </w:t>
      </w:r>
    </w:p>
    <w:p w14:paraId="2750B37D" w14:textId="77777777" w:rsidR="002A57F1" w:rsidRPr="009A2729" w:rsidRDefault="002A57F1" w:rsidP="00B052A5"/>
    <w:p w14:paraId="53BF04C2" w14:textId="76574A3C" w:rsidR="00AE6F65" w:rsidRPr="009A2729" w:rsidRDefault="008A0911" w:rsidP="009A2729">
      <w:r w:rsidRPr="009A2729">
        <w:lastRenderedPageBreak/>
        <w:t xml:space="preserve">De stijging in </w:t>
      </w:r>
      <w:r w:rsidR="00712439" w:rsidRPr="009A2729">
        <w:t xml:space="preserve">absolute uitstoot komt </w:t>
      </w:r>
      <w:r w:rsidR="009A2729" w:rsidRPr="009A2729">
        <w:t xml:space="preserve">met name door extra geladen kWh vanuit het wagenpark. De uitstoot vanuit diesel is ongeveer gelijk gebleven, ook de uitstoot vanuit het vastgoed is gedaald. </w:t>
      </w:r>
    </w:p>
    <w:p w14:paraId="5C6D8A71" w14:textId="77777777" w:rsidR="00AB693D" w:rsidRPr="00A134AE" w:rsidRDefault="00AB693D" w:rsidP="00B052A5">
      <w:pPr>
        <w:rPr>
          <w:color w:val="ED7D31" w:themeColor="accent2"/>
        </w:rPr>
      </w:pPr>
    </w:p>
    <w:p w14:paraId="4A7C7D01" w14:textId="77777777" w:rsidR="00AB693D" w:rsidRDefault="00AB693D" w:rsidP="00B052A5"/>
    <w:p w14:paraId="0F7C6645" w14:textId="175C6902" w:rsidR="00992EDB" w:rsidRDefault="005948E9" w:rsidP="00B052A5">
      <w:r w:rsidRPr="005948E9">
        <w:rPr>
          <w:noProof/>
        </w:rPr>
        <w:drawing>
          <wp:inline distT="0" distB="0" distL="0" distR="0" wp14:anchorId="60D581CF" wp14:editId="26334F69">
            <wp:extent cx="5760720" cy="2651760"/>
            <wp:effectExtent l="0" t="0" r="0" b="0"/>
            <wp:docPr id="17186539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651760"/>
                    </a:xfrm>
                    <a:prstGeom prst="rect">
                      <a:avLst/>
                    </a:prstGeom>
                    <a:noFill/>
                    <a:ln>
                      <a:noFill/>
                    </a:ln>
                  </pic:spPr>
                </pic:pic>
              </a:graphicData>
            </a:graphic>
          </wp:inline>
        </w:drawing>
      </w:r>
    </w:p>
    <w:p w14:paraId="1DBDE607" w14:textId="77777777" w:rsidR="00FC3763" w:rsidRDefault="00FC3763" w:rsidP="00B052A5"/>
    <w:p w14:paraId="6DDB0CD2" w14:textId="77777777" w:rsidR="005712C0" w:rsidRPr="00613BCA" w:rsidRDefault="005712C0" w:rsidP="005712C0">
      <w:pPr>
        <w:rPr>
          <w:color w:val="ED7D31" w:themeColor="accent2"/>
        </w:rPr>
      </w:pPr>
    </w:p>
    <w:p w14:paraId="2C4B4FEA" w14:textId="77777777" w:rsidR="001E672D" w:rsidRPr="00B0090B" w:rsidRDefault="001E672D" w:rsidP="00B0090B">
      <w:pPr>
        <w:rPr>
          <w:color w:val="000000" w:themeColor="text1"/>
        </w:rPr>
      </w:pPr>
    </w:p>
    <w:p w14:paraId="6B39349D" w14:textId="77777777" w:rsidR="009B38F4" w:rsidRDefault="009B38F4" w:rsidP="00862EF8"/>
    <w:p w14:paraId="7E5A0298" w14:textId="77777777" w:rsidR="009E5008" w:rsidRDefault="009E5008" w:rsidP="003F4B28">
      <w:pPr>
        <w:pStyle w:val="Kop3"/>
      </w:pPr>
      <w:bookmarkStart w:id="109" w:name="_Toc142472137"/>
      <w:bookmarkStart w:id="110" w:name="_Toc118736247"/>
      <w:r>
        <w:t>Subdoelstellingen</w:t>
      </w:r>
      <w:bookmarkEnd w:id="109"/>
      <w:r w:rsidR="00C81EEB">
        <w:t xml:space="preserve"> </w:t>
      </w:r>
      <w:bookmarkEnd w:id="110"/>
    </w:p>
    <w:p w14:paraId="5E226A44" w14:textId="4F7C109A" w:rsidR="00D25346" w:rsidRPr="001011DA" w:rsidRDefault="004942B2" w:rsidP="004942B2">
      <w:pPr>
        <w:spacing w:before="240" w:after="240" w:line="276" w:lineRule="auto"/>
      </w:pPr>
      <w:r w:rsidRPr="001011DA">
        <w:t>Nader gespecificeerd voor scope 1 en 2 zijn de doelstellingen voor 2026 als volgt:</w:t>
      </w:r>
    </w:p>
    <w:p w14:paraId="1C2EDCCE" w14:textId="64D394F3" w:rsidR="007A4F31" w:rsidRPr="001011DA" w:rsidRDefault="007A4F31" w:rsidP="007A4F31"/>
    <w:tbl>
      <w:tblPr>
        <w:tblStyle w:val="Tabelraster"/>
        <w:tblW w:w="9316" w:type="dxa"/>
        <w:tblInd w:w="-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2937"/>
        <w:gridCol w:w="3686"/>
        <w:gridCol w:w="2693"/>
      </w:tblGrid>
      <w:tr w:rsidR="001011DA" w:rsidRPr="001011DA" w14:paraId="7C6A1BB0" w14:textId="77777777" w:rsidTr="00761E1E">
        <w:trPr>
          <w:trHeight w:val="425"/>
        </w:trPr>
        <w:tc>
          <w:tcPr>
            <w:tcW w:w="9316" w:type="dxa"/>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6BBE93"/>
            <w:vAlign w:val="center"/>
          </w:tcPr>
          <w:p w14:paraId="2C881A6A" w14:textId="77777777" w:rsidR="006D0786" w:rsidRPr="001011DA" w:rsidRDefault="006D0786" w:rsidP="00761E1E">
            <w:pPr>
              <w:spacing w:line="276" w:lineRule="auto"/>
              <w:jc w:val="center"/>
              <w:rPr>
                <w:b/>
                <w:caps/>
                <w:szCs w:val="20"/>
              </w:rPr>
            </w:pPr>
            <w:r w:rsidRPr="001011DA">
              <w:rPr>
                <w:b/>
                <w:caps/>
                <w:szCs w:val="20"/>
              </w:rPr>
              <w:t>Subdoelstellingen</w:t>
            </w:r>
          </w:p>
        </w:tc>
      </w:tr>
      <w:tr w:rsidR="001011DA" w:rsidRPr="001011DA" w14:paraId="371EE35F" w14:textId="77777777" w:rsidTr="00761E1E">
        <w:trPr>
          <w:trHeight w:val="286"/>
        </w:trPr>
        <w:tc>
          <w:tcPr>
            <w:tcW w:w="293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0DB51E36" w14:textId="77777777" w:rsidR="006D0786" w:rsidRPr="001011DA" w:rsidRDefault="006D0786" w:rsidP="00761E1E">
            <w:pPr>
              <w:spacing w:line="276" w:lineRule="auto"/>
              <w:jc w:val="center"/>
              <w:rPr>
                <w:b/>
                <w:caps/>
                <w:szCs w:val="20"/>
              </w:rPr>
            </w:pPr>
          </w:p>
        </w:tc>
        <w:tc>
          <w:tcPr>
            <w:tcW w:w="36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7854A70D" w14:textId="77777777" w:rsidR="006D0786" w:rsidRPr="001011DA" w:rsidRDefault="006D0786" w:rsidP="00761E1E">
            <w:pPr>
              <w:spacing w:line="276" w:lineRule="auto"/>
              <w:jc w:val="center"/>
              <w:rPr>
                <w:b/>
                <w:caps/>
                <w:szCs w:val="20"/>
              </w:rPr>
            </w:pPr>
            <w:r w:rsidRPr="001011DA">
              <w:rPr>
                <w:b/>
                <w:caps/>
                <w:szCs w:val="20"/>
              </w:rPr>
              <w:t>DOELSTELLING</w:t>
            </w:r>
          </w:p>
        </w:tc>
        <w:tc>
          <w:tcPr>
            <w:tcW w:w="269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FBFBF" w:themeFill="background1" w:themeFillShade="BF"/>
            <w:vAlign w:val="center"/>
          </w:tcPr>
          <w:p w14:paraId="629988B8" w14:textId="6A7B05A6" w:rsidR="006D0786" w:rsidRPr="001011DA" w:rsidRDefault="006D0786" w:rsidP="00761E1E">
            <w:pPr>
              <w:spacing w:line="276" w:lineRule="auto"/>
              <w:jc w:val="center"/>
              <w:rPr>
                <w:b/>
                <w:caps/>
                <w:szCs w:val="20"/>
              </w:rPr>
            </w:pPr>
            <w:r w:rsidRPr="001011DA">
              <w:rPr>
                <w:b/>
                <w:caps/>
                <w:szCs w:val="20"/>
              </w:rPr>
              <w:t>VOORTGANG 202</w:t>
            </w:r>
            <w:r w:rsidR="001011DA" w:rsidRPr="001011DA">
              <w:rPr>
                <w:b/>
                <w:caps/>
                <w:szCs w:val="20"/>
              </w:rPr>
              <w:t>5</w:t>
            </w:r>
          </w:p>
        </w:tc>
      </w:tr>
      <w:tr w:rsidR="001011DA" w:rsidRPr="001011DA" w14:paraId="70973EE4" w14:textId="77777777" w:rsidTr="00761E1E">
        <w:trPr>
          <w:trHeight w:val="283"/>
        </w:trPr>
        <w:tc>
          <w:tcPr>
            <w:tcW w:w="2937"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370575E6" w14:textId="77777777" w:rsidR="006D0786" w:rsidRPr="001011DA" w:rsidRDefault="006D0786" w:rsidP="00761E1E">
            <w:pPr>
              <w:spacing w:line="276" w:lineRule="auto"/>
              <w:jc w:val="center"/>
              <w:rPr>
                <w:b/>
                <w:bCs/>
                <w:sz w:val="18"/>
                <w:szCs w:val="18"/>
              </w:rPr>
            </w:pPr>
            <w:r w:rsidRPr="001011DA">
              <w:rPr>
                <w:b/>
                <w:bCs/>
                <w:sz w:val="18"/>
                <w:szCs w:val="18"/>
              </w:rPr>
              <w:t>Scope 1</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6788CFD8" w14:textId="68EBEF2F" w:rsidR="006D0786" w:rsidRPr="001011DA" w:rsidRDefault="002E74C1" w:rsidP="00761E1E">
            <w:pPr>
              <w:spacing w:line="276" w:lineRule="auto"/>
              <w:jc w:val="center"/>
              <w:rPr>
                <w:sz w:val="18"/>
                <w:szCs w:val="18"/>
              </w:rPr>
            </w:pPr>
            <w:r w:rsidRPr="001011DA">
              <w:rPr>
                <w:sz w:val="18"/>
                <w:szCs w:val="18"/>
              </w:rPr>
              <w:t>54</w:t>
            </w:r>
            <w:r w:rsidR="006D0786" w:rsidRPr="001011DA">
              <w:rPr>
                <w:sz w:val="18"/>
                <w:szCs w:val="18"/>
              </w:rPr>
              <w:t>% reductie</w:t>
            </w:r>
          </w:p>
        </w:tc>
        <w:tc>
          <w:tcPr>
            <w:tcW w:w="2693" w:type="dxa"/>
            <w:tcBorders>
              <w:top w:val="single" w:sz="36" w:space="0" w:color="FFFFFF" w:themeColor="background1"/>
              <w:bottom w:val="single" w:sz="36" w:space="0" w:color="FFFFFF" w:themeColor="background1"/>
            </w:tcBorders>
            <w:shd w:val="clear" w:color="auto" w:fill="F2F2F2" w:themeFill="background1" w:themeFillShade="F2"/>
          </w:tcPr>
          <w:p w14:paraId="069A82C4" w14:textId="570F68A1" w:rsidR="006D0786" w:rsidRPr="001011DA" w:rsidRDefault="001011DA" w:rsidP="00761E1E">
            <w:pPr>
              <w:spacing w:line="276" w:lineRule="auto"/>
              <w:jc w:val="center"/>
              <w:rPr>
                <w:sz w:val="18"/>
                <w:szCs w:val="18"/>
              </w:rPr>
            </w:pPr>
            <w:r w:rsidRPr="001011DA">
              <w:rPr>
                <w:sz w:val="18"/>
                <w:szCs w:val="18"/>
              </w:rPr>
              <w:t>49</w:t>
            </w:r>
            <w:r w:rsidR="006D0786" w:rsidRPr="001011DA">
              <w:rPr>
                <w:sz w:val="18"/>
                <w:szCs w:val="18"/>
              </w:rPr>
              <w:t>% reductie</w:t>
            </w:r>
          </w:p>
        </w:tc>
      </w:tr>
      <w:tr w:rsidR="001011DA" w:rsidRPr="001011DA" w14:paraId="4168D282" w14:textId="77777777" w:rsidTr="00761E1E">
        <w:trPr>
          <w:trHeight w:val="283"/>
        </w:trPr>
        <w:tc>
          <w:tcPr>
            <w:tcW w:w="2937"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755498AD" w14:textId="77777777" w:rsidR="006D0786" w:rsidRPr="001011DA" w:rsidRDefault="006D0786" w:rsidP="00761E1E">
            <w:pPr>
              <w:spacing w:line="276" w:lineRule="auto"/>
              <w:jc w:val="center"/>
              <w:rPr>
                <w:b/>
                <w:bCs/>
                <w:sz w:val="18"/>
                <w:szCs w:val="18"/>
              </w:rPr>
            </w:pPr>
            <w:r w:rsidRPr="001011DA">
              <w:rPr>
                <w:b/>
                <w:bCs/>
                <w:sz w:val="18"/>
                <w:szCs w:val="18"/>
              </w:rPr>
              <w:t>Scope 2</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49721BC2" w14:textId="1F666C9C" w:rsidR="006D0786" w:rsidRPr="001011DA" w:rsidRDefault="003A2702" w:rsidP="003A2702">
            <w:pPr>
              <w:spacing w:line="276" w:lineRule="auto"/>
              <w:jc w:val="center"/>
              <w:rPr>
                <w:sz w:val="18"/>
                <w:szCs w:val="18"/>
              </w:rPr>
            </w:pPr>
            <w:r w:rsidRPr="001011DA">
              <w:rPr>
                <w:sz w:val="18"/>
                <w:szCs w:val="18"/>
              </w:rPr>
              <w:t>95</w:t>
            </w:r>
            <w:r w:rsidR="006D0786" w:rsidRPr="001011DA">
              <w:rPr>
                <w:sz w:val="18"/>
                <w:szCs w:val="18"/>
              </w:rPr>
              <w:t>% reductie</w:t>
            </w:r>
          </w:p>
        </w:tc>
        <w:tc>
          <w:tcPr>
            <w:tcW w:w="2693" w:type="dxa"/>
            <w:tcBorders>
              <w:top w:val="single" w:sz="36" w:space="0" w:color="FFFFFF" w:themeColor="background1"/>
              <w:bottom w:val="single" w:sz="36" w:space="0" w:color="FFFFFF" w:themeColor="background1"/>
            </w:tcBorders>
            <w:shd w:val="clear" w:color="auto" w:fill="F2F2F2" w:themeFill="background1" w:themeFillShade="F2"/>
          </w:tcPr>
          <w:p w14:paraId="399FC582" w14:textId="796B548E" w:rsidR="006D0786" w:rsidRPr="001011DA" w:rsidRDefault="001011DA" w:rsidP="00761E1E">
            <w:pPr>
              <w:spacing w:line="276" w:lineRule="auto"/>
              <w:jc w:val="center"/>
              <w:rPr>
                <w:sz w:val="18"/>
                <w:szCs w:val="18"/>
              </w:rPr>
            </w:pPr>
            <w:r w:rsidRPr="001011DA">
              <w:rPr>
                <w:sz w:val="18"/>
                <w:szCs w:val="18"/>
              </w:rPr>
              <w:t>41</w:t>
            </w:r>
            <w:r w:rsidR="006D0786" w:rsidRPr="001011DA">
              <w:rPr>
                <w:sz w:val="18"/>
                <w:szCs w:val="18"/>
              </w:rPr>
              <w:t>% reductie</w:t>
            </w:r>
          </w:p>
        </w:tc>
      </w:tr>
      <w:tr w:rsidR="001011DA" w:rsidRPr="001011DA" w14:paraId="5C2D6644" w14:textId="77777777" w:rsidTr="00761E1E">
        <w:trPr>
          <w:trHeight w:val="283"/>
        </w:trPr>
        <w:tc>
          <w:tcPr>
            <w:tcW w:w="2937"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6D60AD99" w14:textId="77777777" w:rsidR="006D0786" w:rsidRPr="001011DA" w:rsidRDefault="006D0786" w:rsidP="00761E1E">
            <w:pPr>
              <w:spacing w:line="276" w:lineRule="auto"/>
              <w:jc w:val="center"/>
              <w:rPr>
                <w:b/>
                <w:bCs/>
                <w:sz w:val="18"/>
                <w:szCs w:val="18"/>
              </w:rPr>
            </w:pPr>
            <w:r w:rsidRPr="001011DA">
              <w:rPr>
                <w:b/>
                <w:bCs/>
                <w:sz w:val="18"/>
                <w:szCs w:val="18"/>
              </w:rPr>
              <w:t xml:space="preserve">Business </w:t>
            </w:r>
            <w:proofErr w:type="spellStart"/>
            <w:r w:rsidRPr="001011DA">
              <w:rPr>
                <w:b/>
                <w:bCs/>
                <w:sz w:val="18"/>
                <w:szCs w:val="18"/>
              </w:rPr>
              <w:t>travel</w:t>
            </w:r>
            <w:proofErr w:type="spellEnd"/>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30F0C7C2" w14:textId="77777777" w:rsidR="006D0786" w:rsidRPr="001011DA" w:rsidRDefault="006D0786" w:rsidP="00761E1E">
            <w:pPr>
              <w:spacing w:line="276" w:lineRule="auto"/>
              <w:jc w:val="center"/>
              <w:rPr>
                <w:sz w:val="18"/>
                <w:szCs w:val="18"/>
              </w:rPr>
            </w:pPr>
            <w:r w:rsidRPr="001011DA">
              <w:rPr>
                <w:sz w:val="18"/>
                <w:szCs w:val="18"/>
              </w:rPr>
              <w:t>Blijvend op 0 houden</w:t>
            </w:r>
          </w:p>
        </w:tc>
        <w:tc>
          <w:tcPr>
            <w:tcW w:w="2693" w:type="dxa"/>
            <w:tcBorders>
              <w:top w:val="single" w:sz="36" w:space="0" w:color="FFFFFF" w:themeColor="background1"/>
              <w:bottom w:val="single" w:sz="36" w:space="0" w:color="FFFFFF" w:themeColor="background1"/>
            </w:tcBorders>
            <w:shd w:val="clear" w:color="auto" w:fill="F2F2F2" w:themeFill="background1" w:themeFillShade="F2"/>
          </w:tcPr>
          <w:p w14:paraId="202C3D03" w14:textId="77777777" w:rsidR="006D0786" w:rsidRPr="001011DA" w:rsidRDefault="006D0786" w:rsidP="00761E1E">
            <w:pPr>
              <w:spacing w:line="276" w:lineRule="auto"/>
              <w:jc w:val="center"/>
              <w:rPr>
                <w:sz w:val="18"/>
                <w:szCs w:val="18"/>
              </w:rPr>
            </w:pPr>
            <w:r w:rsidRPr="001011DA">
              <w:rPr>
                <w:sz w:val="18"/>
                <w:szCs w:val="18"/>
              </w:rPr>
              <w:t>100%</w:t>
            </w:r>
          </w:p>
        </w:tc>
      </w:tr>
      <w:tr w:rsidR="001011DA" w:rsidRPr="001011DA" w14:paraId="475483E2" w14:textId="77777777" w:rsidTr="00761E1E">
        <w:trPr>
          <w:trHeight w:val="283"/>
        </w:trPr>
        <w:tc>
          <w:tcPr>
            <w:tcW w:w="2937"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54B93829" w14:textId="77777777" w:rsidR="006D0786" w:rsidRPr="001011DA" w:rsidRDefault="006D0786" w:rsidP="00761E1E">
            <w:pPr>
              <w:spacing w:line="276" w:lineRule="auto"/>
              <w:jc w:val="center"/>
              <w:rPr>
                <w:b/>
                <w:bCs/>
                <w:sz w:val="18"/>
                <w:szCs w:val="18"/>
              </w:rPr>
            </w:pPr>
            <w:r w:rsidRPr="001011DA">
              <w:rPr>
                <w:b/>
                <w:bCs/>
                <w:sz w:val="18"/>
                <w:szCs w:val="18"/>
              </w:rPr>
              <w:t>Groene stroom</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60AC6797" w14:textId="77777777" w:rsidR="006D0786" w:rsidRPr="001011DA" w:rsidRDefault="006D0786" w:rsidP="00761E1E">
            <w:pPr>
              <w:spacing w:line="276" w:lineRule="auto"/>
              <w:jc w:val="center"/>
              <w:rPr>
                <w:sz w:val="18"/>
                <w:szCs w:val="18"/>
              </w:rPr>
            </w:pPr>
            <w:r w:rsidRPr="001011DA">
              <w:rPr>
                <w:sz w:val="18"/>
                <w:szCs w:val="18"/>
              </w:rPr>
              <w:t>100% groene stroom</w:t>
            </w:r>
          </w:p>
        </w:tc>
        <w:tc>
          <w:tcPr>
            <w:tcW w:w="2693" w:type="dxa"/>
            <w:tcBorders>
              <w:top w:val="single" w:sz="36" w:space="0" w:color="FFFFFF" w:themeColor="background1"/>
              <w:bottom w:val="single" w:sz="36" w:space="0" w:color="FFFFFF" w:themeColor="background1"/>
            </w:tcBorders>
            <w:shd w:val="clear" w:color="auto" w:fill="F2F2F2" w:themeFill="background1" w:themeFillShade="F2"/>
          </w:tcPr>
          <w:p w14:paraId="510EFEDF" w14:textId="6E39927F" w:rsidR="006D0786" w:rsidRPr="001011DA" w:rsidRDefault="001011DA" w:rsidP="00761E1E">
            <w:pPr>
              <w:spacing w:line="276" w:lineRule="auto"/>
              <w:jc w:val="center"/>
              <w:rPr>
                <w:sz w:val="18"/>
                <w:szCs w:val="18"/>
              </w:rPr>
            </w:pPr>
            <w:r w:rsidRPr="001011DA">
              <w:rPr>
                <w:sz w:val="18"/>
                <w:szCs w:val="18"/>
              </w:rPr>
              <w:t>0% groene stroom</w:t>
            </w:r>
          </w:p>
        </w:tc>
      </w:tr>
      <w:tr w:rsidR="001011DA" w:rsidRPr="001011DA" w14:paraId="3009235C" w14:textId="77777777" w:rsidTr="00761E1E">
        <w:trPr>
          <w:trHeight w:val="283"/>
        </w:trPr>
        <w:tc>
          <w:tcPr>
            <w:tcW w:w="2937"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10544AE6" w14:textId="77777777" w:rsidR="006D0786" w:rsidRPr="001011DA" w:rsidRDefault="006D0786" w:rsidP="00761E1E">
            <w:pPr>
              <w:spacing w:line="276" w:lineRule="auto"/>
              <w:jc w:val="center"/>
              <w:rPr>
                <w:b/>
                <w:bCs/>
                <w:sz w:val="18"/>
                <w:szCs w:val="18"/>
              </w:rPr>
            </w:pPr>
            <w:r w:rsidRPr="001011DA">
              <w:rPr>
                <w:b/>
                <w:bCs/>
                <w:sz w:val="18"/>
                <w:szCs w:val="18"/>
              </w:rPr>
              <w:t>Alternatieve brandstoffen</w:t>
            </w:r>
          </w:p>
        </w:tc>
        <w:tc>
          <w:tcPr>
            <w:tcW w:w="3686"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0CCA0C36" w14:textId="1D1CA4ED" w:rsidR="006D0786" w:rsidRPr="001011DA" w:rsidRDefault="00232F5D" w:rsidP="003A3EFE">
            <w:pPr>
              <w:spacing w:line="276" w:lineRule="auto"/>
              <w:rPr>
                <w:sz w:val="18"/>
                <w:szCs w:val="18"/>
                <w:highlight w:val="yellow"/>
              </w:rPr>
            </w:pPr>
            <w:r w:rsidRPr="001011DA">
              <w:rPr>
                <w:sz w:val="18"/>
                <w:szCs w:val="18"/>
              </w:rPr>
              <w:t>Blijvend inschrijven op projecten waarbij toepassen van HVO100 een vereiste is.</w:t>
            </w:r>
          </w:p>
        </w:tc>
        <w:tc>
          <w:tcPr>
            <w:tcW w:w="2693" w:type="dxa"/>
            <w:tcBorders>
              <w:top w:val="single" w:sz="36" w:space="0" w:color="FFFFFF" w:themeColor="background1"/>
              <w:bottom w:val="single" w:sz="36" w:space="0" w:color="FFFFFF" w:themeColor="background1"/>
            </w:tcBorders>
            <w:shd w:val="clear" w:color="auto" w:fill="F2F2F2" w:themeFill="background1" w:themeFillShade="F2"/>
          </w:tcPr>
          <w:p w14:paraId="3E431F00" w14:textId="533CC0CE" w:rsidR="006D0786" w:rsidRPr="001011DA" w:rsidRDefault="001011DA" w:rsidP="00761E1E">
            <w:pPr>
              <w:spacing w:line="276" w:lineRule="auto"/>
              <w:rPr>
                <w:sz w:val="18"/>
                <w:szCs w:val="18"/>
              </w:rPr>
            </w:pPr>
            <w:r w:rsidRPr="001011DA">
              <w:rPr>
                <w:sz w:val="18"/>
                <w:szCs w:val="18"/>
              </w:rPr>
              <w:t>Geen inzet HVO</w:t>
            </w:r>
            <w:r w:rsidR="006D0786" w:rsidRPr="001011DA">
              <w:rPr>
                <w:sz w:val="18"/>
                <w:szCs w:val="18"/>
              </w:rPr>
              <w:t xml:space="preserve"> </w:t>
            </w:r>
          </w:p>
        </w:tc>
      </w:tr>
    </w:tbl>
    <w:p w14:paraId="50F6F0FE" w14:textId="77777777" w:rsidR="006D0786" w:rsidRPr="001011DA" w:rsidRDefault="006D0786" w:rsidP="007A4F31"/>
    <w:p w14:paraId="4A45B048" w14:textId="77777777" w:rsidR="00293AE5" w:rsidRPr="001011DA" w:rsidRDefault="00293AE5" w:rsidP="007A4F31"/>
    <w:p w14:paraId="0F31AB15" w14:textId="77777777" w:rsidR="001E672D" w:rsidRPr="001011DA" w:rsidRDefault="001E672D" w:rsidP="007A4F31"/>
    <w:p w14:paraId="79130C4C" w14:textId="77777777" w:rsidR="001E672D" w:rsidRPr="001011DA" w:rsidRDefault="001E672D" w:rsidP="007A4F31"/>
    <w:p w14:paraId="21E14A79" w14:textId="77777777" w:rsidR="001E672D" w:rsidRDefault="001E672D" w:rsidP="007A4F31"/>
    <w:p w14:paraId="2D8DA253" w14:textId="77777777" w:rsidR="001E672D" w:rsidRDefault="001E672D" w:rsidP="007A4F31"/>
    <w:p w14:paraId="63ED3CA3" w14:textId="77777777" w:rsidR="001E672D" w:rsidRDefault="001E672D" w:rsidP="007A4F31"/>
    <w:p w14:paraId="625CE799" w14:textId="77777777" w:rsidR="001E672D" w:rsidRDefault="001E672D" w:rsidP="007A4F31"/>
    <w:p w14:paraId="70F4ACF9" w14:textId="77777777" w:rsidR="001E672D" w:rsidRDefault="001E672D" w:rsidP="007A4F31"/>
    <w:p w14:paraId="3CDE1742" w14:textId="77777777" w:rsidR="001011DA" w:rsidRDefault="001011DA" w:rsidP="007A4F31"/>
    <w:p w14:paraId="19B5148B" w14:textId="77777777" w:rsidR="001E672D" w:rsidRDefault="001E672D" w:rsidP="007A4F31"/>
    <w:p w14:paraId="2ACF6C29" w14:textId="77777777" w:rsidR="001616F5" w:rsidRPr="001616F5" w:rsidRDefault="001616F5" w:rsidP="008E321A">
      <w:pPr>
        <w:rPr>
          <w:b/>
          <w:bCs/>
        </w:rPr>
      </w:pPr>
    </w:p>
    <w:p w14:paraId="335BB83B" w14:textId="218DAA1B" w:rsidR="00310CF3" w:rsidRDefault="00D64CFF" w:rsidP="00D64CFF">
      <w:pPr>
        <w:pStyle w:val="Kop3"/>
        <w:numPr>
          <w:ilvl w:val="0"/>
          <w:numId w:val="0"/>
        </w:numPr>
        <w:ind w:left="720" w:hanging="12"/>
      </w:pPr>
      <w:r>
        <w:lastRenderedPageBreak/>
        <w:t>5</w:t>
      </w:r>
      <w:r w:rsidR="00310CF3">
        <w:t>.2.3 Doelstellingen scope 3 en voortgang</w:t>
      </w:r>
    </w:p>
    <w:p w14:paraId="7BCF5776" w14:textId="77777777" w:rsidR="00310CF3" w:rsidRPr="007253E8" w:rsidRDefault="00310CF3" w:rsidP="00310CF3"/>
    <w:p w14:paraId="5C5B41AD" w14:textId="393C6C99" w:rsidR="00310CF3" w:rsidRPr="000C74A0" w:rsidRDefault="00310CF3" w:rsidP="00310CF3">
      <w:pPr>
        <w:rPr>
          <w:b/>
          <w:bCs/>
        </w:rPr>
      </w:pPr>
      <w:r w:rsidRPr="000C74A0">
        <w:rPr>
          <w:b/>
          <w:bCs/>
        </w:rPr>
        <w:t xml:space="preserve">Ketenanalyse </w:t>
      </w:r>
      <w:r w:rsidR="00E1232D" w:rsidRPr="000C74A0">
        <w:rPr>
          <w:b/>
          <w:bCs/>
        </w:rPr>
        <w:t>- Collectorenveld</w:t>
      </w:r>
    </w:p>
    <w:p w14:paraId="33F374C5" w14:textId="64CB195E" w:rsidR="00310CF3" w:rsidRPr="000C74A0" w:rsidRDefault="007979D5" w:rsidP="00310CF3">
      <w:r w:rsidRPr="000C74A0">
        <w:t>Finovi B.V.</w:t>
      </w:r>
      <w:r w:rsidR="00310CF3" w:rsidRPr="000C74A0">
        <w:t xml:space="preserve"> </w:t>
      </w:r>
      <w:r w:rsidR="41F7D732" w:rsidRPr="000C74A0">
        <w:t xml:space="preserve">streeft </w:t>
      </w:r>
      <w:r w:rsidR="002237A4" w:rsidRPr="000C74A0">
        <w:t>ernaar</w:t>
      </w:r>
      <w:r w:rsidR="41F7D732" w:rsidRPr="000C74A0">
        <w:t xml:space="preserve"> </w:t>
      </w:r>
      <w:r w:rsidR="00310CF3" w:rsidRPr="000C74A0">
        <w:t xml:space="preserve">in </w:t>
      </w:r>
      <w:r w:rsidR="000223AB" w:rsidRPr="000C74A0">
        <w:t>2026</w:t>
      </w:r>
      <w:r w:rsidR="00310CF3" w:rsidRPr="000C74A0">
        <w:t xml:space="preserve"> </w:t>
      </w:r>
      <w:r w:rsidR="005E78DC" w:rsidRPr="000C74A0">
        <w:t xml:space="preserve">van 4 collectorvelden </w:t>
      </w:r>
      <w:r w:rsidR="377605FB" w:rsidRPr="000C74A0">
        <w:t>gerealiseerd te hebben</w:t>
      </w:r>
      <w:r w:rsidR="2A35AD75" w:rsidRPr="000C74A0">
        <w:t xml:space="preserve"> </w:t>
      </w:r>
      <w:r w:rsidR="005E78DC" w:rsidRPr="000C74A0">
        <w:t xml:space="preserve">en daarmee toe te werken naar een </w:t>
      </w:r>
      <w:r w:rsidR="001952F8" w:rsidRPr="000C74A0">
        <w:t>jaarlijkse</w:t>
      </w:r>
      <w:r w:rsidR="005E78DC" w:rsidRPr="000C74A0">
        <w:t xml:space="preserve"> CO2-reductie </w:t>
      </w:r>
      <w:r w:rsidR="001952F8" w:rsidRPr="000C74A0">
        <w:t>van 1.094 ton CO2 per jaar.</w:t>
      </w:r>
      <w:r w:rsidR="00310CF3" w:rsidRPr="000C74A0">
        <w:t xml:space="preserve"> De volledige ketenanalyse inclusief onderbouwing van deze doelstelling is te vinden in het document “</w:t>
      </w:r>
      <w:r w:rsidR="001952F8" w:rsidRPr="000C74A0">
        <w:t xml:space="preserve">Ketenanalyse </w:t>
      </w:r>
      <w:r w:rsidRPr="000C74A0">
        <w:t>Finovi B.V.</w:t>
      </w:r>
      <w:r w:rsidR="00310CF3" w:rsidRPr="000C74A0">
        <w:t xml:space="preserve">”. </w:t>
      </w:r>
    </w:p>
    <w:p w14:paraId="19C9825D" w14:textId="77777777" w:rsidR="00771738" w:rsidRPr="000C74A0" w:rsidRDefault="00771738" w:rsidP="00310CF3"/>
    <w:p w14:paraId="2FF6D1CD" w14:textId="77777777" w:rsidR="00771738" w:rsidRDefault="00771738" w:rsidP="00771738">
      <w:r w:rsidRPr="000C74A0">
        <w:t xml:space="preserve">Deze ketenanalyse is professioneel ondersteund of becommentarieerd door een ter zake als bekwaam erkend en onafhankelijk kennisinstituut, zijnde De Duurzame Adviseurs. </w:t>
      </w:r>
    </w:p>
    <w:p w14:paraId="763CCC2F" w14:textId="77777777" w:rsidR="000C74A0" w:rsidRDefault="000C74A0" w:rsidP="00771738"/>
    <w:p w14:paraId="54883801" w14:textId="6E4D8E0F" w:rsidR="000C74A0" w:rsidRDefault="000C74A0" w:rsidP="00771738">
      <w:r>
        <w:t xml:space="preserve">Er is in 2025 en 2026 </w:t>
      </w:r>
      <w:r w:rsidR="008270EF">
        <w:t xml:space="preserve">gekeken of de kwantitatieve voortgang per collectorveld berekend kon worden aan de hand van </w:t>
      </w:r>
      <w:r w:rsidR="009F4740">
        <w:t xml:space="preserve">de werkelijke opbrengsten in GJ per veld. Ondanks dat er wel data </w:t>
      </w:r>
      <w:r w:rsidR="00DA093E">
        <w:t xml:space="preserve">beschikbaar is voor het veld in </w:t>
      </w:r>
      <w:r w:rsidR="00BF7645">
        <w:t xml:space="preserve">Eindhoven, mist hier de vertaalslag met de flowmeter. Er is besloten dat de huidige data daarom niet </w:t>
      </w:r>
      <w:proofErr w:type="spellStart"/>
      <w:r w:rsidR="00BF7645">
        <w:t>toereiking</w:t>
      </w:r>
      <w:proofErr w:type="spellEnd"/>
      <w:r w:rsidR="00BF7645">
        <w:t xml:space="preserve"> is om een specifieke besparing per veld te berekenen. </w:t>
      </w:r>
    </w:p>
    <w:p w14:paraId="7E5A60BA" w14:textId="77777777" w:rsidR="00BF7645" w:rsidRDefault="00BF7645" w:rsidP="00771738"/>
    <w:p w14:paraId="16F30C44" w14:textId="7EAA9307" w:rsidR="00BF7645" w:rsidRDefault="00BF7645" w:rsidP="00771738">
      <w:r>
        <w:t>Vanuit de ketenanalyse is het veld in Eindhoven een reductie bepaald per collectorveld, waarbij dit wordt teruggerekend naar CO2 uitstoot</w:t>
      </w:r>
      <w:r w:rsidR="00C2338C">
        <w:t xml:space="preserve"> per vierkante meter. </w:t>
      </w:r>
    </w:p>
    <w:p w14:paraId="54F9C7D5" w14:textId="77777777" w:rsidR="002C7220" w:rsidRDefault="002C7220" w:rsidP="00771738"/>
    <w:tbl>
      <w:tblPr>
        <w:tblStyle w:val="Tabelraster"/>
        <w:tblW w:w="0" w:type="auto"/>
        <w:tblInd w:w="28" w:type="dxa"/>
        <w:tblLook w:val="04A0" w:firstRow="1" w:lastRow="0" w:firstColumn="1" w:lastColumn="0" w:noHBand="0" w:noVBand="1"/>
      </w:tblPr>
      <w:tblGrid>
        <w:gridCol w:w="1845"/>
        <w:gridCol w:w="1489"/>
        <w:gridCol w:w="1332"/>
        <w:gridCol w:w="1332"/>
        <w:gridCol w:w="1697"/>
        <w:gridCol w:w="1339"/>
      </w:tblGrid>
      <w:tr w:rsidR="001D2A67" w:rsidRPr="00613BCA" w14:paraId="7E0C0F33" w14:textId="159A154F">
        <w:tc>
          <w:tcPr>
            <w:tcW w:w="9034" w:type="dxa"/>
            <w:gridSpan w:val="6"/>
            <w:shd w:val="clear" w:color="auto" w:fill="B68F72"/>
          </w:tcPr>
          <w:p w14:paraId="5330398F" w14:textId="5DC6C5F5" w:rsidR="001D2A67" w:rsidRPr="002C7220" w:rsidRDefault="001D2A67" w:rsidP="00761E1E">
            <w:pPr>
              <w:jc w:val="center"/>
              <w:rPr>
                <w:b/>
                <w:caps/>
              </w:rPr>
            </w:pPr>
            <w:r w:rsidRPr="002C7220">
              <w:rPr>
                <w:b/>
                <w:caps/>
              </w:rPr>
              <w:t>INDICATIE CO2-REDUCTIE PER JAAR</w:t>
            </w:r>
          </w:p>
        </w:tc>
      </w:tr>
      <w:tr w:rsidR="001541F8" w:rsidRPr="00613BCA" w14:paraId="73D2C2AA" w14:textId="432C627C" w:rsidTr="001D2A67">
        <w:tc>
          <w:tcPr>
            <w:tcW w:w="1845" w:type="dxa"/>
            <w:shd w:val="clear" w:color="auto" w:fill="D9D9D9" w:themeFill="background1" w:themeFillShade="D9"/>
          </w:tcPr>
          <w:p w14:paraId="2FB00573" w14:textId="58E2D16B" w:rsidR="001541F8" w:rsidRPr="001D2A67" w:rsidRDefault="001541F8" w:rsidP="00761E1E">
            <w:pPr>
              <w:jc w:val="center"/>
              <w:rPr>
                <w:sz w:val="14"/>
                <w:szCs w:val="18"/>
              </w:rPr>
            </w:pPr>
            <w:r w:rsidRPr="001D2A67">
              <w:rPr>
                <w:sz w:val="14"/>
                <w:szCs w:val="18"/>
              </w:rPr>
              <w:t>Locatie/veld</w:t>
            </w:r>
          </w:p>
        </w:tc>
        <w:tc>
          <w:tcPr>
            <w:tcW w:w="1489" w:type="dxa"/>
            <w:shd w:val="clear" w:color="auto" w:fill="D9D9D9" w:themeFill="background1" w:themeFillShade="D9"/>
          </w:tcPr>
          <w:p w14:paraId="0ECDD23D" w14:textId="0B195713" w:rsidR="001541F8" w:rsidRPr="001D2A67" w:rsidRDefault="001541F8" w:rsidP="00761E1E">
            <w:pPr>
              <w:jc w:val="center"/>
              <w:rPr>
                <w:sz w:val="14"/>
                <w:szCs w:val="18"/>
              </w:rPr>
            </w:pPr>
            <w:r w:rsidRPr="001D2A67">
              <w:rPr>
                <w:sz w:val="14"/>
                <w:szCs w:val="18"/>
              </w:rPr>
              <w:t>Totale oppervlakte</w:t>
            </w:r>
          </w:p>
        </w:tc>
        <w:tc>
          <w:tcPr>
            <w:tcW w:w="1332" w:type="dxa"/>
            <w:shd w:val="clear" w:color="auto" w:fill="D9D9D9" w:themeFill="background1" w:themeFillShade="D9"/>
          </w:tcPr>
          <w:p w14:paraId="09073040" w14:textId="5811B455" w:rsidR="001541F8" w:rsidRPr="001D2A67" w:rsidRDefault="001541F8" w:rsidP="00761E1E">
            <w:pPr>
              <w:jc w:val="center"/>
              <w:rPr>
                <w:sz w:val="14"/>
                <w:szCs w:val="18"/>
              </w:rPr>
            </w:pPr>
            <w:r w:rsidRPr="001D2A67">
              <w:rPr>
                <w:sz w:val="14"/>
                <w:szCs w:val="18"/>
              </w:rPr>
              <w:t>Opbrengst per m2 (kWh)</w:t>
            </w:r>
          </w:p>
        </w:tc>
        <w:tc>
          <w:tcPr>
            <w:tcW w:w="1332" w:type="dxa"/>
            <w:shd w:val="clear" w:color="auto" w:fill="D9D9D9" w:themeFill="background1" w:themeFillShade="D9"/>
          </w:tcPr>
          <w:p w14:paraId="33688E40" w14:textId="5A723D8D" w:rsidR="001541F8" w:rsidRPr="001D2A67" w:rsidRDefault="001541F8" w:rsidP="00761E1E">
            <w:pPr>
              <w:jc w:val="center"/>
              <w:rPr>
                <w:sz w:val="14"/>
                <w:szCs w:val="18"/>
              </w:rPr>
            </w:pPr>
            <w:r w:rsidRPr="001D2A67">
              <w:rPr>
                <w:sz w:val="14"/>
                <w:szCs w:val="18"/>
              </w:rPr>
              <w:t>Opbrengst per</w:t>
            </w:r>
            <w:r w:rsidR="007A2545">
              <w:rPr>
                <w:sz w:val="14"/>
                <w:szCs w:val="18"/>
              </w:rPr>
              <w:t xml:space="preserve"> jaar (GJ</w:t>
            </w:r>
            <w:r w:rsidR="00B03E9E">
              <w:rPr>
                <w:sz w:val="14"/>
                <w:szCs w:val="18"/>
              </w:rPr>
              <w:t>)</w:t>
            </w:r>
          </w:p>
        </w:tc>
        <w:tc>
          <w:tcPr>
            <w:tcW w:w="1697" w:type="dxa"/>
            <w:shd w:val="clear" w:color="auto" w:fill="D9D9D9" w:themeFill="background1" w:themeFillShade="D9"/>
          </w:tcPr>
          <w:p w14:paraId="4149FBF7" w14:textId="13AE522C" w:rsidR="001541F8" w:rsidRPr="001D2A67" w:rsidRDefault="004562FC" w:rsidP="004562FC">
            <w:pPr>
              <w:jc w:val="center"/>
              <w:rPr>
                <w:sz w:val="14"/>
                <w:szCs w:val="18"/>
              </w:rPr>
            </w:pPr>
            <w:r w:rsidRPr="001D2A67">
              <w:rPr>
                <w:sz w:val="14"/>
                <w:szCs w:val="18"/>
              </w:rPr>
              <w:t xml:space="preserve">Gas-equivalent </w:t>
            </w:r>
            <w:r w:rsidR="0045717A">
              <w:rPr>
                <w:sz w:val="14"/>
                <w:szCs w:val="18"/>
              </w:rPr>
              <w:t xml:space="preserve">m3 </w:t>
            </w:r>
            <w:r w:rsidRPr="001D2A67">
              <w:rPr>
                <w:sz w:val="14"/>
                <w:szCs w:val="18"/>
              </w:rPr>
              <w:t>(energetische waarde) </w:t>
            </w:r>
          </w:p>
        </w:tc>
        <w:tc>
          <w:tcPr>
            <w:tcW w:w="1339" w:type="dxa"/>
            <w:shd w:val="clear" w:color="auto" w:fill="D9D9D9" w:themeFill="background1" w:themeFillShade="D9"/>
          </w:tcPr>
          <w:p w14:paraId="18CB1029" w14:textId="659D92FE" w:rsidR="001541F8" w:rsidRPr="001D2A67" w:rsidRDefault="001D2A67" w:rsidP="001D2A67">
            <w:pPr>
              <w:jc w:val="center"/>
              <w:rPr>
                <w:sz w:val="14"/>
                <w:szCs w:val="18"/>
              </w:rPr>
            </w:pPr>
            <w:r w:rsidRPr="001D2A67">
              <w:rPr>
                <w:sz w:val="14"/>
                <w:szCs w:val="18"/>
              </w:rPr>
              <w:t>CO2-equivalent (ton) </w:t>
            </w:r>
          </w:p>
        </w:tc>
      </w:tr>
      <w:tr w:rsidR="00224F79" w:rsidRPr="00613BCA" w14:paraId="5B5BA39B" w14:textId="668A2022" w:rsidTr="001D2A67">
        <w:tc>
          <w:tcPr>
            <w:tcW w:w="1845" w:type="dxa"/>
          </w:tcPr>
          <w:p w14:paraId="7782F588" w14:textId="7F1B2E77" w:rsidR="00224F79" w:rsidRPr="001D2A67" w:rsidRDefault="00224F79" w:rsidP="00224F79">
            <w:pPr>
              <w:jc w:val="center"/>
              <w:rPr>
                <w:sz w:val="14"/>
                <w:szCs w:val="18"/>
              </w:rPr>
            </w:pPr>
            <w:r w:rsidRPr="001D2A67">
              <w:rPr>
                <w:sz w:val="14"/>
                <w:szCs w:val="18"/>
              </w:rPr>
              <w:t>Eindhoven</w:t>
            </w:r>
          </w:p>
        </w:tc>
        <w:tc>
          <w:tcPr>
            <w:tcW w:w="1489" w:type="dxa"/>
          </w:tcPr>
          <w:p w14:paraId="76125352" w14:textId="61C36782" w:rsidR="00224F79" w:rsidRPr="001D2A67" w:rsidRDefault="00224F79" w:rsidP="00224F79">
            <w:pPr>
              <w:jc w:val="center"/>
              <w:rPr>
                <w:sz w:val="14"/>
                <w:szCs w:val="18"/>
              </w:rPr>
            </w:pPr>
            <w:r>
              <w:rPr>
                <w:sz w:val="14"/>
                <w:szCs w:val="18"/>
              </w:rPr>
              <w:t>4.747 m2</w:t>
            </w:r>
          </w:p>
        </w:tc>
        <w:tc>
          <w:tcPr>
            <w:tcW w:w="1332" w:type="dxa"/>
          </w:tcPr>
          <w:p w14:paraId="381366CD" w14:textId="181FBFD4" w:rsidR="00224F79" w:rsidRPr="001D2A67" w:rsidRDefault="00224F79" w:rsidP="00224F79">
            <w:pPr>
              <w:jc w:val="center"/>
              <w:rPr>
                <w:sz w:val="14"/>
                <w:szCs w:val="18"/>
              </w:rPr>
            </w:pPr>
            <w:r>
              <w:rPr>
                <w:sz w:val="14"/>
                <w:szCs w:val="18"/>
              </w:rPr>
              <w:t>250</w:t>
            </w:r>
          </w:p>
        </w:tc>
        <w:tc>
          <w:tcPr>
            <w:tcW w:w="1332" w:type="dxa"/>
          </w:tcPr>
          <w:p w14:paraId="32BC1A50" w14:textId="665A34E4" w:rsidR="00224F79" w:rsidRPr="001D2A67" w:rsidRDefault="00224F79" w:rsidP="00224F79">
            <w:pPr>
              <w:jc w:val="center"/>
              <w:rPr>
                <w:sz w:val="14"/>
                <w:szCs w:val="18"/>
              </w:rPr>
            </w:pPr>
            <w:r w:rsidRPr="00447F57">
              <w:rPr>
                <w:sz w:val="14"/>
                <w:szCs w:val="18"/>
              </w:rPr>
              <w:t>4272</w:t>
            </w:r>
            <w:r>
              <w:rPr>
                <w:sz w:val="14"/>
                <w:szCs w:val="18"/>
              </w:rPr>
              <w:t>,</w:t>
            </w:r>
            <w:r w:rsidRPr="00447F57">
              <w:rPr>
                <w:sz w:val="14"/>
                <w:szCs w:val="18"/>
              </w:rPr>
              <w:t>3</w:t>
            </w:r>
          </w:p>
        </w:tc>
        <w:tc>
          <w:tcPr>
            <w:tcW w:w="1697" w:type="dxa"/>
          </w:tcPr>
          <w:p w14:paraId="568744BC" w14:textId="250FDD90" w:rsidR="00224F79" w:rsidRPr="001D2A67" w:rsidRDefault="00224F79" w:rsidP="00224F79">
            <w:pPr>
              <w:jc w:val="center"/>
              <w:rPr>
                <w:sz w:val="14"/>
                <w:szCs w:val="18"/>
              </w:rPr>
            </w:pPr>
            <w:r w:rsidRPr="00F31F5A">
              <w:rPr>
                <w:sz w:val="14"/>
                <w:szCs w:val="18"/>
              </w:rPr>
              <w:t>135.004</w:t>
            </w:r>
          </w:p>
        </w:tc>
        <w:tc>
          <w:tcPr>
            <w:tcW w:w="1339" w:type="dxa"/>
          </w:tcPr>
          <w:p w14:paraId="5BFFAE10" w14:textId="49588C95" w:rsidR="00224F79" w:rsidRPr="001D2A67" w:rsidRDefault="00224F79" w:rsidP="00224F79">
            <w:pPr>
              <w:jc w:val="center"/>
              <w:rPr>
                <w:sz w:val="14"/>
                <w:szCs w:val="18"/>
              </w:rPr>
            </w:pPr>
            <w:r w:rsidRPr="00F31F5A">
              <w:rPr>
                <w:sz w:val="14"/>
                <w:szCs w:val="18"/>
              </w:rPr>
              <w:t>288,1</w:t>
            </w:r>
          </w:p>
        </w:tc>
      </w:tr>
      <w:tr w:rsidR="00224F79" w:rsidRPr="00613BCA" w14:paraId="6947643E" w14:textId="61A8EA0F" w:rsidTr="001D2A67">
        <w:tc>
          <w:tcPr>
            <w:tcW w:w="1845" w:type="dxa"/>
          </w:tcPr>
          <w:p w14:paraId="65A0690B" w14:textId="7D818DC2" w:rsidR="00224F79" w:rsidRPr="001D2A67" w:rsidRDefault="00224F79" w:rsidP="00224F79">
            <w:pPr>
              <w:jc w:val="center"/>
              <w:rPr>
                <w:sz w:val="14"/>
                <w:szCs w:val="18"/>
              </w:rPr>
            </w:pPr>
            <w:r w:rsidRPr="001D2A67">
              <w:rPr>
                <w:sz w:val="14"/>
                <w:szCs w:val="18"/>
              </w:rPr>
              <w:t>Zaanstad</w:t>
            </w:r>
          </w:p>
        </w:tc>
        <w:tc>
          <w:tcPr>
            <w:tcW w:w="1489" w:type="dxa"/>
          </w:tcPr>
          <w:p w14:paraId="55EAAEE0" w14:textId="2066E3CF" w:rsidR="00224F79" w:rsidRPr="001D2A67" w:rsidRDefault="00224F79" w:rsidP="00224F79">
            <w:pPr>
              <w:jc w:val="center"/>
              <w:rPr>
                <w:sz w:val="14"/>
                <w:szCs w:val="18"/>
              </w:rPr>
            </w:pPr>
            <w:r>
              <w:rPr>
                <w:sz w:val="14"/>
                <w:szCs w:val="18"/>
              </w:rPr>
              <w:t>8.512 m2</w:t>
            </w:r>
          </w:p>
        </w:tc>
        <w:tc>
          <w:tcPr>
            <w:tcW w:w="1332" w:type="dxa"/>
          </w:tcPr>
          <w:p w14:paraId="2743A616" w14:textId="1ECE9107" w:rsidR="00224F79" w:rsidRPr="001D2A67" w:rsidRDefault="00224F79" w:rsidP="00224F79">
            <w:pPr>
              <w:jc w:val="center"/>
              <w:rPr>
                <w:sz w:val="14"/>
                <w:szCs w:val="18"/>
              </w:rPr>
            </w:pPr>
            <w:r w:rsidRPr="004C577F">
              <w:rPr>
                <w:sz w:val="14"/>
                <w:szCs w:val="18"/>
              </w:rPr>
              <w:t>250</w:t>
            </w:r>
          </w:p>
        </w:tc>
        <w:tc>
          <w:tcPr>
            <w:tcW w:w="1332" w:type="dxa"/>
          </w:tcPr>
          <w:p w14:paraId="7F92E6DB" w14:textId="374EB6B1" w:rsidR="00224F79" w:rsidRPr="001D2A67" w:rsidRDefault="00224F79" w:rsidP="00224F79">
            <w:pPr>
              <w:jc w:val="center"/>
              <w:rPr>
                <w:sz w:val="14"/>
                <w:szCs w:val="18"/>
              </w:rPr>
            </w:pPr>
            <w:r w:rsidRPr="00447F57">
              <w:rPr>
                <w:sz w:val="14"/>
                <w:szCs w:val="18"/>
              </w:rPr>
              <w:t>7660</w:t>
            </w:r>
            <w:r>
              <w:rPr>
                <w:sz w:val="14"/>
                <w:szCs w:val="18"/>
              </w:rPr>
              <w:t>,</w:t>
            </w:r>
            <w:r w:rsidRPr="00447F57">
              <w:rPr>
                <w:sz w:val="14"/>
                <w:szCs w:val="18"/>
              </w:rPr>
              <w:t>8</w:t>
            </w:r>
          </w:p>
        </w:tc>
        <w:tc>
          <w:tcPr>
            <w:tcW w:w="1697" w:type="dxa"/>
          </w:tcPr>
          <w:p w14:paraId="5EEB4017" w14:textId="6CB392CF" w:rsidR="00224F79" w:rsidRPr="001D2A67" w:rsidRDefault="00224F79" w:rsidP="00224F79">
            <w:pPr>
              <w:jc w:val="center"/>
              <w:rPr>
                <w:sz w:val="14"/>
                <w:szCs w:val="18"/>
              </w:rPr>
            </w:pPr>
            <w:r w:rsidRPr="00F31F5A">
              <w:rPr>
                <w:sz w:val="14"/>
                <w:szCs w:val="18"/>
              </w:rPr>
              <w:t>242.081</w:t>
            </w:r>
          </w:p>
        </w:tc>
        <w:tc>
          <w:tcPr>
            <w:tcW w:w="1339" w:type="dxa"/>
          </w:tcPr>
          <w:p w14:paraId="282834D7" w14:textId="56B95931" w:rsidR="00224F79" w:rsidRPr="001D2A67" w:rsidRDefault="00224F79" w:rsidP="00224F79">
            <w:pPr>
              <w:jc w:val="center"/>
              <w:rPr>
                <w:sz w:val="14"/>
                <w:szCs w:val="18"/>
              </w:rPr>
            </w:pPr>
            <w:r w:rsidRPr="00F31F5A">
              <w:rPr>
                <w:sz w:val="14"/>
                <w:szCs w:val="18"/>
              </w:rPr>
              <w:t>516,6</w:t>
            </w:r>
          </w:p>
        </w:tc>
      </w:tr>
      <w:tr w:rsidR="00224F79" w:rsidRPr="00613BCA" w14:paraId="4DB875B6" w14:textId="4EEC6930" w:rsidTr="001D2A67">
        <w:tc>
          <w:tcPr>
            <w:tcW w:w="1845" w:type="dxa"/>
          </w:tcPr>
          <w:p w14:paraId="72DD9EF3" w14:textId="561DAEC8" w:rsidR="00224F79" w:rsidRPr="001D2A67" w:rsidRDefault="00224F79" w:rsidP="00224F79">
            <w:pPr>
              <w:jc w:val="center"/>
              <w:rPr>
                <w:sz w:val="14"/>
                <w:szCs w:val="18"/>
              </w:rPr>
            </w:pPr>
            <w:r w:rsidRPr="001D2A67">
              <w:rPr>
                <w:sz w:val="14"/>
                <w:szCs w:val="18"/>
              </w:rPr>
              <w:t>Den Haag</w:t>
            </w:r>
          </w:p>
        </w:tc>
        <w:tc>
          <w:tcPr>
            <w:tcW w:w="1489" w:type="dxa"/>
          </w:tcPr>
          <w:p w14:paraId="3B27B6DB" w14:textId="3E0CFF95" w:rsidR="00224F79" w:rsidRPr="001D2A67" w:rsidRDefault="00224F79" w:rsidP="00224F79">
            <w:pPr>
              <w:jc w:val="center"/>
              <w:rPr>
                <w:sz w:val="14"/>
                <w:szCs w:val="18"/>
              </w:rPr>
            </w:pPr>
            <w:r>
              <w:rPr>
                <w:sz w:val="14"/>
                <w:szCs w:val="18"/>
              </w:rPr>
              <w:t>450 m2</w:t>
            </w:r>
          </w:p>
        </w:tc>
        <w:tc>
          <w:tcPr>
            <w:tcW w:w="1332" w:type="dxa"/>
          </w:tcPr>
          <w:p w14:paraId="7D9EBCA8" w14:textId="5E55561C" w:rsidR="00224F79" w:rsidRPr="001D2A67" w:rsidRDefault="00224F79" w:rsidP="00224F79">
            <w:pPr>
              <w:jc w:val="center"/>
              <w:rPr>
                <w:sz w:val="14"/>
                <w:szCs w:val="18"/>
              </w:rPr>
            </w:pPr>
            <w:r w:rsidRPr="004C577F">
              <w:rPr>
                <w:sz w:val="14"/>
                <w:szCs w:val="18"/>
              </w:rPr>
              <w:t>250</w:t>
            </w:r>
          </w:p>
        </w:tc>
        <w:tc>
          <w:tcPr>
            <w:tcW w:w="1332" w:type="dxa"/>
          </w:tcPr>
          <w:p w14:paraId="5CF2B8C3" w14:textId="0BA6B239" w:rsidR="00224F79" w:rsidRPr="001D2A67" w:rsidRDefault="00224F79" w:rsidP="00224F79">
            <w:pPr>
              <w:jc w:val="center"/>
              <w:rPr>
                <w:sz w:val="14"/>
                <w:szCs w:val="18"/>
              </w:rPr>
            </w:pPr>
            <w:r w:rsidRPr="00447F57">
              <w:rPr>
                <w:sz w:val="14"/>
                <w:szCs w:val="18"/>
              </w:rPr>
              <w:t>405</w:t>
            </w:r>
          </w:p>
        </w:tc>
        <w:tc>
          <w:tcPr>
            <w:tcW w:w="1697" w:type="dxa"/>
          </w:tcPr>
          <w:p w14:paraId="546E364A" w14:textId="40140390" w:rsidR="00224F79" w:rsidRPr="001D2A67" w:rsidRDefault="00224F79" w:rsidP="00224F79">
            <w:pPr>
              <w:jc w:val="center"/>
              <w:rPr>
                <w:sz w:val="14"/>
                <w:szCs w:val="18"/>
              </w:rPr>
            </w:pPr>
            <w:r w:rsidRPr="00F31F5A">
              <w:rPr>
                <w:sz w:val="14"/>
                <w:szCs w:val="18"/>
              </w:rPr>
              <w:t>12.798</w:t>
            </w:r>
          </w:p>
        </w:tc>
        <w:tc>
          <w:tcPr>
            <w:tcW w:w="1339" w:type="dxa"/>
          </w:tcPr>
          <w:p w14:paraId="5E8C3CF0" w14:textId="0E32DC9D" w:rsidR="00224F79" w:rsidRPr="001D2A67" w:rsidRDefault="00224F79" w:rsidP="00224F79">
            <w:pPr>
              <w:jc w:val="center"/>
              <w:rPr>
                <w:sz w:val="14"/>
                <w:szCs w:val="18"/>
              </w:rPr>
            </w:pPr>
            <w:r w:rsidRPr="00F31F5A">
              <w:rPr>
                <w:sz w:val="14"/>
                <w:szCs w:val="18"/>
              </w:rPr>
              <w:t>27,3</w:t>
            </w:r>
          </w:p>
        </w:tc>
      </w:tr>
      <w:tr w:rsidR="00224F79" w:rsidRPr="00613BCA" w14:paraId="1377355D" w14:textId="77777777">
        <w:tc>
          <w:tcPr>
            <w:tcW w:w="7695" w:type="dxa"/>
            <w:gridSpan w:val="5"/>
          </w:tcPr>
          <w:p w14:paraId="6EE97B16" w14:textId="21B962CB" w:rsidR="00224F79" w:rsidRPr="00F31F5A" w:rsidRDefault="00224F79" w:rsidP="00F31F5A">
            <w:pPr>
              <w:jc w:val="right"/>
              <w:rPr>
                <w:b/>
                <w:bCs/>
                <w:sz w:val="14"/>
                <w:szCs w:val="18"/>
              </w:rPr>
            </w:pPr>
            <w:r w:rsidRPr="00F31F5A">
              <w:rPr>
                <w:b/>
                <w:bCs/>
                <w:sz w:val="14"/>
                <w:szCs w:val="18"/>
              </w:rPr>
              <w:t>Totaal</w:t>
            </w:r>
          </w:p>
        </w:tc>
        <w:tc>
          <w:tcPr>
            <w:tcW w:w="1339" w:type="dxa"/>
          </w:tcPr>
          <w:p w14:paraId="0E23EE3C" w14:textId="781DBA4F" w:rsidR="00224F79" w:rsidRPr="00F31F5A" w:rsidRDefault="009D3833" w:rsidP="00224F79">
            <w:pPr>
              <w:jc w:val="center"/>
              <w:rPr>
                <w:b/>
                <w:bCs/>
                <w:sz w:val="14"/>
                <w:szCs w:val="18"/>
              </w:rPr>
            </w:pPr>
            <w:r w:rsidRPr="00F31F5A">
              <w:rPr>
                <w:b/>
                <w:bCs/>
                <w:sz w:val="14"/>
                <w:szCs w:val="18"/>
              </w:rPr>
              <w:t>832</w:t>
            </w:r>
            <w:r w:rsidR="00F31F5A" w:rsidRPr="00F31F5A">
              <w:rPr>
                <w:b/>
                <w:bCs/>
                <w:sz w:val="14"/>
                <w:szCs w:val="18"/>
              </w:rPr>
              <w:t>,0</w:t>
            </w:r>
          </w:p>
        </w:tc>
      </w:tr>
    </w:tbl>
    <w:p w14:paraId="3C4DDB99" w14:textId="77777777" w:rsidR="002C7220" w:rsidRPr="000C74A0" w:rsidRDefault="002C7220" w:rsidP="00771738"/>
    <w:p w14:paraId="4EBF6C9D" w14:textId="77777777" w:rsidR="0022284B" w:rsidRPr="000C74A0" w:rsidRDefault="0022284B" w:rsidP="00310CF3"/>
    <w:p w14:paraId="5AF44715" w14:textId="0B284E00" w:rsidR="00F31F5A" w:rsidRDefault="00F31F5A">
      <w:r>
        <w:t>De doelstelling geeft weer dat er in 2026 1094 Ton C</w:t>
      </w:r>
      <w:r w:rsidR="4EE3554B">
        <w:t>O</w:t>
      </w:r>
      <w:r>
        <w:t xml:space="preserve">2 wordt </w:t>
      </w:r>
      <w:r w:rsidR="009E1424">
        <w:t>gereduceerd</w:t>
      </w:r>
      <w:r>
        <w:t xml:space="preserve"> per jaar. </w:t>
      </w:r>
      <w:r w:rsidR="007E7AA0">
        <w:t xml:space="preserve">Vanuit bovenstaande berekening valt op te maken dat </w:t>
      </w:r>
      <w:r w:rsidR="009E1424">
        <w:t>de</w:t>
      </w:r>
      <w:r w:rsidR="5806E494">
        <w:t xml:space="preserve"> </w:t>
      </w:r>
      <w:r w:rsidR="009E1424">
        <w:t xml:space="preserve">doelstelling niet gehaald is, waarbij </w:t>
      </w:r>
      <w:r w:rsidR="57DF3273">
        <w:t>genoemde</w:t>
      </w:r>
      <w:r w:rsidR="009E1424">
        <w:t xml:space="preserve"> de enige </w:t>
      </w:r>
      <w:r w:rsidR="2DFDAA89">
        <w:t xml:space="preserve">actieve </w:t>
      </w:r>
      <w:r w:rsidR="009E1424">
        <w:t xml:space="preserve">velden zullen zijn in 2026. </w:t>
      </w:r>
    </w:p>
    <w:p w14:paraId="7C951B82" w14:textId="78C724E9" w:rsidR="009E1424" w:rsidRPr="00613BCA" w:rsidRDefault="009E1424" w:rsidP="208842ED"/>
    <w:p w14:paraId="566F5FAD" w14:textId="77777777" w:rsidR="00CE79F0" w:rsidRPr="00613BCA" w:rsidRDefault="00CE79F0" w:rsidP="00310CF3">
      <w:pPr>
        <w:rPr>
          <w:color w:val="ED7D31" w:themeColor="accent2"/>
        </w:rPr>
      </w:pPr>
    </w:p>
    <w:p w14:paraId="4A67C280" w14:textId="1D8C9744" w:rsidR="418DB5AE" w:rsidRDefault="418DB5AE" w:rsidP="418DB5AE">
      <w:pPr>
        <w:rPr>
          <w:b/>
          <w:bCs/>
        </w:rPr>
      </w:pPr>
    </w:p>
    <w:p w14:paraId="3B009832" w14:textId="041FB5C2" w:rsidR="418DB5AE" w:rsidRDefault="418DB5AE">
      <w:r>
        <w:br w:type="page"/>
      </w:r>
    </w:p>
    <w:p w14:paraId="3D151D56" w14:textId="4DF1572F" w:rsidR="2FAF4E9C" w:rsidRDefault="2FAF4E9C" w:rsidP="418DB5AE">
      <w:pPr>
        <w:rPr>
          <w:b/>
          <w:bCs/>
        </w:rPr>
      </w:pPr>
      <w:r w:rsidRPr="418DB5AE">
        <w:rPr>
          <w:b/>
          <w:bCs/>
        </w:rPr>
        <w:lastRenderedPageBreak/>
        <w:t>Voortgang hoofddoelstelling</w:t>
      </w:r>
    </w:p>
    <w:p w14:paraId="0688F7DC" w14:textId="45CA78E3" w:rsidR="418DB5AE" w:rsidRDefault="418DB5AE" w:rsidP="418DB5AE"/>
    <w:p w14:paraId="131F20D2" w14:textId="5B0E174A" w:rsidR="2FAF4E9C" w:rsidRDefault="2FAF4E9C">
      <w:r w:rsidRPr="418DB5AE">
        <w:t xml:space="preserve">In 2023 is </w:t>
      </w:r>
      <w:r w:rsidR="7F11DDFA" w:rsidRPr="418DB5AE">
        <w:t xml:space="preserve">het eerste collectorveld gerealiseerd, in Eindhoven. In 2024 is er een tweede collectorveld aan toegevoegd, dit </w:t>
      </w:r>
      <w:r w:rsidR="2B062A84" w:rsidRPr="418DB5AE">
        <w:t xml:space="preserve">collectorveld ligt in Zaandam. </w:t>
      </w:r>
      <w:r w:rsidR="16C00786" w:rsidRPr="418DB5AE">
        <w:t xml:space="preserve">Het </w:t>
      </w:r>
      <w:r w:rsidR="75C5D168" w:rsidRPr="418DB5AE">
        <w:t>eerstvolgende collectorveld is gerealiseerd in Den Haag, in 2026.</w:t>
      </w:r>
    </w:p>
    <w:p w14:paraId="43D24386" w14:textId="5C72C4F5" w:rsidR="418DB5AE" w:rsidRDefault="418DB5AE" w:rsidP="418DB5AE"/>
    <w:p w14:paraId="74EB045C" w14:textId="016F5A10" w:rsidR="75C5D168" w:rsidRDefault="75C5D168">
      <w:r w:rsidRPr="418DB5AE">
        <w:t>Naast de hoofddoelstelling heeft Finovi nog subdoelstellingen bepaald welke als volgt zijn geformuleerd:</w:t>
      </w:r>
    </w:p>
    <w:p w14:paraId="63C307B8" w14:textId="3061D12F" w:rsidR="418DB5AE" w:rsidRDefault="418DB5AE" w:rsidP="418DB5AE"/>
    <w:p w14:paraId="46B11547" w14:textId="1A323F61" w:rsidR="418DB5AE" w:rsidRDefault="418DB5AE" w:rsidP="418DB5AE"/>
    <w:p w14:paraId="5A862B26" w14:textId="043D10F4" w:rsidR="418DB5AE" w:rsidRDefault="418DB5AE" w:rsidP="208842ED">
      <w:pPr>
        <w:rPr>
          <w:color w:val="ED7D31" w:themeColor="accent2"/>
        </w:rPr>
      </w:pPr>
    </w:p>
    <w:p w14:paraId="22FC2C02" w14:textId="77777777" w:rsidR="002B65AE" w:rsidRPr="00613BCA" w:rsidRDefault="002B65AE" w:rsidP="208842ED">
      <w:pPr>
        <w:rPr>
          <w:color w:val="ED7D31" w:themeColor="accent2"/>
        </w:rPr>
      </w:pPr>
    </w:p>
    <w:p w14:paraId="536B0C2E" w14:textId="71203BD2" w:rsidR="1CAF80B8" w:rsidRPr="00613BCA" w:rsidRDefault="002B65AE" w:rsidP="208842ED">
      <w:pPr>
        <w:pStyle w:val="Lijstalinea"/>
        <w:numPr>
          <w:ilvl w:val="0"/>
          <w:numId w:val="21"/>
        </w:numPr>
        <w:rPr>
          <w:color w:val="ED7D31" w:themeColor="accent2"/>
        </w:rPr>
      </w:pPr>
      <w:r w:rsidRPr="208842ED">
        <w:t xml:space="preserve">In de aankomende jaren ten minste twee </w:t>
      </w:r>
      <w:r w:rsidR="00B473AA" w:rsidRPr="208842ED">
        <w:t>project specifieke</w:t>
      </w:r>
      <w:r w:rsidRPr="208842ED">
        <w:t xml:space="preserve"> impactberekeninge</w:t>
      </w:r>
      <w:r w:rsidR="008A6F2C" w:rsidRPr="208842ED">
        <w:t>n m</w:t>
      </w:r>
      <w:r w:rsidRPr="208842ED">
        <w:t>aken</w:t>
      </w:r>
    </w:p>
    <w:p w14:paraId="77F61490" w14:textId="292A1AFD" w:rsidR="1C181083" w:rsidRPr="00613BCA" w:rsidRDefault="42478BBE" w:rsidP="208842ED">
      <w:pPr>
        <w:pStyle w:val="Lijstalinea"/>
        <w:numPr>
          <w:ilvl w:val="1"/>
          <w:numId w:val="21"/>
        </w:numPr>
        <w:rPr>
          <w:color w:val="ED7D31" w:themeColor="accent2"/>
        </w:rPr>
      </w:pPr>
      <w:r w:rsidRPr="208842ED">
        <w:t xml:space="preserve">2023: </w:t>
      </w:r>
      <w:r w:rsidR="2B6572FC" w:rsidRPr="208842ED">
        <w:t>I</w:t>
      </w:r>
      <w:r w:rsidR="00ED53FC" w:rsidRPr="208842ED">
        <w:t>n</w:t>
      </w:r>
      <w:r w:rsidR="2B6572FC" w:rsidRPr="208842ED">
        <w:t xml:space="preserve"> 2023 is één collectorveld aangebracht</w:t>
      </w:r>
      <w:r w:rsidR="00AF205C" w:rsidRPr="208842ED">
        <w:t>.</w:t>
      </w:r>
    </w:p>
    <w:p w14:paraId="37D0C9D6" w14:textId="7215C637" w:rsidR="006D171F" w:rsidRPr="00613BCA" w:rsidRDefault="1D2A4F4F" w:rsidP="208842ED">
      <w:pPr>
        <w:pStyle w:val="Lijstalinea"/>
        <w:numPr>
          <w:ilvl w:val="1"/>
          <w:numId w:val="21"/>
        </w:numPr>
        <w:rPr>
          <w:color w:val="ED7D31" w:themeColor="accent2"/>
        </w:rPr>
      </w:pPr>
      <w:r w:rsidRPr="208842ED">
        <w:t xml:space="preserve">2024: </w:t>
      </w:r>
      <w:r w:rsidR="006D171F" w:rsidRPr="208842ED">
        <w:t xml:space="preserve">In </w:t>
      </w:r>
      <w:r w:rsidR="00AF205C" w:rsidRPr="208842ED">
        <w:t xml:space="preserve">Q2 </w:t>
      </w:r>
      <w:r w:rsidR="006D171F" w:rsidRPr="208842ED">
        <w:t xml:space="preserve">2024 </w:t>
      </w:r>
      <w:r w:rsidR="00AF205C" w:rsidRPr="208842ED">
        <w:t>is wederom een collectorveld aangebracht</w:t>
      </w:r>
      <w:r w:rsidR="00902ED4" w:rsidRPr="208842ED">
        <w:t>, ditmaal in Zaanstad</w:t>
      </w:r>
      <w:r w:rsidR="00AF205C" w:rsidRPr="208842ED">
        <w:t>.</w:t>
      </w:r>
      <w:r w:rsidR="00940216" w:rsidRPr="208842ED">
        <w:t xml:space="preserve"> </w:t>
      </w:r>
      <w:r w:rsidR="00171FE8" w:rsidRPr="208842ED">
        <w:t xml:space="preserve">Het systeem in Zaanstad is vergelijkbaar met hetgeen in Eindhoven, </w:t>
      </w:r>
      <w:r w:rsidR="00667682" w:rsidRPr="208842ED">
        <w:t xml:space="preserve">slechts het aantal aangebrachte leidingen is </w:t>
      </w:r>
      <w:r w:rsidR="00022A49" w:rsidRPr="208842ED">
        <w:t>verminderd.</w:t>
      </w:r>
    </w:p>
    <w:p w14:paraId="4251ABA4" w14:textId="3D79D377" w:rsidR="00940216" w:rsidRPr="00613BCA" w:rsidRDefault="00940216" w:rsidP="208842ED">
      <w:pPr>
        <w:pStyle w:val="Lijstalinea"/>
        <w:ind w:left="1440"/>
        <w:rPr>
          <w:color w:val="ED7D31" w:themeColor="accent2"/>
        </w:rPr>
      </w:pPr>
      <w:r w:rsidRPr="208842ED">
        <w:t xml:space="preserve">Voor het project </w:t>
      </w:r>
      <w:r w:rsidR="00902ED4" w:rsidRPr="208842ED">
        <w:t>is geen impactberekening gemaakt. Het collectorveld wordt eind 2025 in gebruikt genomen en aangesloten.</w:t>
      </w:r>
    </w:p>
    <w:p w14:paraId="73DB9311" w14:textId="04E887E8" w:rsidR="418DB5AE" w:rsidRDefault="002C531A" w:rsidP="208842ED">
      <w:pPr>
        <w:pStyle w:val="Lijstalinea"/>
        <w:ind w:left="1440"/>
      </w:pPr>
      <w:r w:rsidRPr="208842ED">
        <w:t xml:space="preserve">Er is geconcludeerd dat de impactberekening </w:t>
      </w:r>
      <w:r w:rsidR="006C6CDC" w:rsidRPr="208842ED">
        <w:t xml:space="preserve">te ingewikkeld is om voor een </w:t>
      </w:r>
      <w:r w:rsidR="00022A49" w:rsidRPr="208842ED">
        <w:t>tweede project</w:t>
      </w:r>
      <w:r w:rsidR="006C6CDC" w:rsidRPr="208842ED">
        <w:t xml:space="preserve"> uit te voeren.</w:t>
      </w:r>
      <w:r w:rsidR="007E2E5D" w:rsidRPr="208842ED">
        <w:t xml:space="preserve"> </w:t>
      </w:r>
      <w:r w:rsidR="002E3962" w:rsidRPr="208842ED">
        <w:t xml:space="preserve">Om deze reden </w:t>
      </w:r>
      <w:r w:rsidR="00FF2F36" w:rsidRPr="208842ED">
        <w:t>vervalt deze subdoelstelling</w:t>
      </w:r>
      <w:r w:rsidR="007E2E5D" w:rsidRPr="208842ED">
        <w:t>.</w:t>
      </w:r>
      <w:r w:rsidR="00FF2F36" w:rsidRPr="208842ED">
        <w:t xml:space="preserve"> </w:t>
      </w:r>
      <w:proofErr w:type="gramStart"/>
      <w:r w:rsidR="00FF2F36" w:rsidRPr="208842ED">
        <w:t>wellicht</w:t>
      </w:r>
      <w:proofErr w:type="gramEnd"/>
      <w:r w:rsidR="00FF2F36" w:rsidRPr="208842ED">
        <w:t xml:space="preserve"> komt wegens de vermar</w:t>
      </w:r>
      <w:r w:rsidR="00733CF4" w:rsidRPr="208842ED">
        <w:t>k</w:t>
      </w:r>
      <w:r w:rsidR="00FF2F36" w:rsidRPr="208842ED">
        <w:t xml:space="preserve">tmogelijkheden deze </w:t>
      </w:r>
      <w:r w:rsidR="00733CF4" w:rsidRPr="208842ED">
        <w:t>impactberekening wel terug bij collectorveld 3.</w:t>
      </w:r>
    </w:p>
    <w:p w14:paraId="56437253" w14:textId="74EA34B1" w:rsidR="32781009" w:rsidRDefault="0D466200" w:rsidP="3A6F7D02">
      <w:pPr>
        <w:pStyle w:val="Lijstalinea"/>
        <w:numPr>
          <w:ilvl w:val="0"/>
          <w:numId w:val="5"/>
        </w:numPr>
      </w:pPr>
      <w:r w:rsidRPr="208842ED">
        <w:t xml:space="preserve">2025: </w:t>
      </w:r>
      <w:r w:rsidR="32781009" w:rsidRPr="208842ED">
        <w:t>Ook in 2025 zijn geen nieuwe impactberekeningen uitgevoerd.</w:t>
      </w:r>
    </w:p>
    <w:p w14:paraId="579A78E6" w14:textId="4B982B2E" w:rsidR="002B65AE" w:rsidRPr="00613BCA" w:rsidRDefault="002B65AE" w:rsidP="208842ED">
      <w:pPr>
        <w:pStyle w:val="Lijstalinea"/>
        <w:numPr>
          <w:ilvl w:val="0"/>
          <w:numId w:val="20"/>
        </w:numPr>
        <w:rPr>
          <w:color w:val="ED7D31" w:themeColor="accent2"/>
        </w:rPr>
      </w:pPr>
      <w:r w:rsidRPr="208842ED">
        <w:t>Monitoren van output voor pilotproject (energieopbrengst en terugverdientijd</w:t>
      </w:r>
      <w:r w:rsidR="5049E199" w:rsidRPr="208842ED">
        <w:t>)</w:t>
      </w:r>
      <w:r w:rsidR="5DC9791C" w:rsidRPr="208842ED">
        <w:t>;</w:t>
      </w:r>
    </w:p>
    <w:p w14:paraId="6B1CCF85" w14:textId="73852BBD" w:rsidR="14AE0C67" w:rsidRPr="00613BCA" w:rsidRDefault="3496DD27" w:rsidP="208842ED">
      <w:pPr>
        <w:pStyle w:val="Lijstalinea"/>
        <w:numPr>
          <w:ilvl w:val="1"/>
          <w:numId w:val="20"/>
        </w:numPr>
        <w:rPr>
          <w:color w:val="ED7D31" w:themeColor="accent2"/>
        </w:rPr>
      </w:pPr>
      <w:r w:rsidRPr="208842ED">
        <w:t xml:space="preserve">2023: </w:t>
      </w:r>
      <w:r w:rsidR="3A1DEBF7" w:rsidRPr="208842ED">
        <w:t xml:space="preserve">Outputstromen van het collectorveld (gerealiseerd in 2023) kunnen nog niet worden gemonitord </w:t>
      </w:r>
      <w:r w:rsidR="71FFAFFA" w:rsidRPr="208842ED">
        <w:t>i</w:t>
      </w:r>
      <w:r w:rsidR="18026A98" w:rsidRPr="208842ED">
        <w:t xml:space="preserve">n verband met </w:t>
      </w:r>
      <w:r w:rsidR="3A1DEBF7" w:rsidRPr="208842ED">
        <w:t xml:space="preserve">afwezigheid van een flowmeter, daarnaast zijn er nog diverse reparaties aan het systeem uitgevoerd in verband met </w:t>
      </w:r>
      <w:r w:rsidR="6AD83D02" w:rsidRPr="208842ED">
        <w:t>lekkages.</w:t>
      </w:r>
      <w:r w:rsidR="6BB05C46" w:rsidRPr="208842ED">
        <w:t xml:space="preserve"> Dit alles heeft ervoor gezorgd dat nog niet alle gegeven om uitkomsten te monitoren gereed zijn.</w:t>
      </w:r>
    </w:p>
    <w:p w14:paraId="1F2E638A" w14:textId="442E39B0" w:rsidR="00902ED4" w:rsidRPr="00613BCA" w:rsidRDefault="5C5E7C1A" w:rsidP="208842ED">
      <w:pPr>
        <w:pStyle w:val="Lijstalinea"/>
        <w:numPr>
          <w:ilvl w:val="1"/>
          <w:numId w:val="20"/>
        </w:numPr>
        <w:rPr>
          <w:color w:val="ED7D31" w:themeColor="accent2"/>
        </w:rPr>
      </w:pPr>
      <w:r w:rsidRPr="208842ED">
        <w:t xml:space="preserve">2024: </w:t>
      </w:r>
      <w:r w:rsidR="00594900" w:rsidRPr="208842ED">
        <w:t xml:space="preserve">Ook in 2024 zijn er met behulp van collectorveld 1 nog geen uitkomsten gemonitord. Wel </w:t>
      </w:r>
      <w:r w:rsidR="00730FD6" w:rsidRPr="208842ED">
        <w:t xml:space="preserve">wordt in begin 2025 een nieuwe testopstelling opgestart waarmee output en flow te monitoren zijn. </w:t>
      </w:r>
      <w:proofErr w:type="gramStart"/>
      <w:r w:rsidR="00730FD6" w:rsidRPr="208842ED">
        <w:t>Middels</w:t>
      </w:r>
      <w:proofErr w:type="gramEnd"/>
      <w:r w:rsidR="00730FD6" w:rsidRPr="208842ED">
        <w:t xml:space="preserve"> de testopstelling kunnen nieuwe </w:t>
      </w:r>
      <w:r w:rsidR="00FA1A63" w:rsidRPr="208842ED">
        <w:t>waarden voor het optimaliseren van de oplevering van collectorvelden in de praktijk worden verbeterd.</w:t>
      </w:r>
    </w:p>
    <w:p w14:paraId="77C50787" w14:textId="37F8D8E3" w:rsidR="3A6F7D02" w:rsidRDefault="073DE8A1" w:rsidP="208842ED">
      <w:pPr>
        <w:pStyle w:val="Lijstalinea"/>
        <w:numPr>
          <w:ilvl w:val="1"/>
          <w:numId w:val="20"/>
        </w:numPr>
      </w:pPr>
      <w:r w:rsidRPr="208842ED">
        <w:t xml:space="preserve">2025: </w:t>
      </w:r>
      <w:r w:rsidR="6D3C88D4" w:rsidRPr="208842ED">
        <w:t>Sinds 2025 is de data van het collectorveld zoals het gerealiseerd is in Eindhoven, uit te lezen. Met behulp van sensoren wordt op geselecteerde tijden een meting gedaan van de ingaande- e</w:t>
      </w:r>
      <w:r w:rsidR="53FCD13F" w:rsidRPr="208842ED">
        <w:t>n uitgaande temperatuur van de vloeistof in het collectorensysteem.</w:t>
      </w:r>
      <w:r w:rsidR="53B676C6" w:rsidRPr="208842ED">
        <w:t xml:space="preserve"> Echter, de meetmomenten waarbinnen </w:t>
      </w:r>
      <w:r w:rsidR="78B64D3D" w:rsidRPr="208842ED">
        <w:t>de sensordata wordt gewonnen is niet representatief voor een betrouwbaar resultaat. De meetmomenten zijn 10:00u (opstart van het systeem), 18:00u (</w:t>
      </w:r>
      <w:r w:rsidR="2DF1CB96" w:rsidRPr="208842ED">
        <w:t>afsluiten van het systeem), 2:00 (uitstaan van het systeem).</w:t>
      </w:r>
    </w:p>
    <w:p w14:paraId="302EB8F7" w14:textId="27B7D343" w:rsidR="002B65AE" w:rsidRPr="00613BCA" w:rsidRDefault="002B65AE" w:rsidP="208842ED">
      <w:pPr>
        <w:pStyle w:val="Lijstalinea"/>
        <w:numPr>
          <w:ilvl w:val="0"/>
          <w:numId w:val="20"/>
        </w:numPr>
        <w:rPr>
          <w:color w:val="ED7D31" w:themeColor="accent2"/>
        </w:rPr>
      </w:pPr>
      <w:r w:rsidRPr="208842ED">
        <w:t>Businesscase, marketing en sales verder uitwerken</w:t>
      </w:r>
      <w:r w:rsidR="271D221D" w:rsidRPr="208842ED">
        <w:t>;</w:t>
      </w:r>
    </w:p>
    <w:p w14:paraId="387C1D56" w14:textId="30E57FE6" w:rsidR="4F4F52FA" w:rsidRPr="00613BCA" w:rsidRDefault="78604777" w:rsidP="208842ED">
      <w:pPr>
        <w:pStyle w:val="Lijstalinea"/>
        <w:numPr>
          <w:ilvl w:val="1"/>
          <w:numId w:val="20"/>
        </w:numPr>
        <w:rPr>
          <w:color w:val="ED7D31" w:themeColor="accent2"/>
        </w:rPr>
      </w:pPr>
      <w:r w:rsidRPr="208842ED">
        <w:t xml:space="preserve">2023: </w:t>
      </w:r>
      <w:r w:rsidR="2A963F9D" w:rsidRPr="208842ED">
        <w:t>Er zijn diverse informatiebijeenkomsten georganiseerd</w:t>
      </w:r>
      <w:r w:rsidR="5475EBBE" w:rsidRPr="208842ED">
        <w:t>, waarin het systeem nader wordt toegelicht aan opdrachtgevers en geïnteresseerde partijen. Deze doelstelling is doorlopend.</w:t>
      </w:r>
      <w:r w:rsidR="44CEF986" w:rsidRPr="208842ED">
        <w:t xml:space="preserve"> Regelmatig zijn er uitvragen voor de opzet van een dergelijk systeem, deze worden intern serieus opgekapt.</w:t>
      </w:r>
    </w:p>
    <w:p w14:paraId="778233B0" w14:textId="4C137841" w:rsidR="00FA1A63" w:rsidRPr="00613BCA" w:rsidRDefault="332D9BDC" w:rsidP="208842ED">
      <w:pPr>
        <w:pStyle w:val="Lijstalinea"/>
        <w:numPr>
          <w:ilvl w:val="1"/>
          <w:numId w:val="20"/>
        </w:numPr>
        <w:rPr>
          <w:color w:val="ED7D31" w:themeColor="accent2"/>
        </w:rPr>
      </w:pPr>
      <w:r w:rsidRPr="208842ED">
        <w:t xml:space="preserve">2024: </w:t>
      </w:r>
      <w:r w:rsidR="00EE1E9D" w:rsidRPr="208842ED">
        <w:t xml:space="preserve">De interesse in het systeem blijft doorzetten. In 2025 wordt een stagiair ingezet om </w:t>
      </w:r>
      <w:r w:rsidR="002261A7" w:rsidRPr="208842ED">
        <w:t>het collectorveld beter te vermarkten.</w:t>
      </w:r>
    </w:p>
    <w:p w14:paraId="23ADD99D" w14:textId="4292833A" w:rsidR="3A6F7D02" w:rsidRDefault="13C381C1" w:rsidP="3A6F7D02">
      <w:pPr>
        <w:pStyle w:val="Lijstalinea"/>
        <w:numPr>
          <w:ilvl w:val="1"/>
          <w:numId w:val="20"/>
        </w:numPr>
      </w:pPr>
      <w:r w:rsidRPr="208842ED">
        <w:t xml:space="preserve">2025: </w:t>
      </w:r>
      <w:r w:rsidR="3BEFF2EE" w:rsidRPr="208842ED">
        <w:t>Evenals voorgaande jaren is het collectorveld op diverse beurzen gepresenteerd.</w:t>
      </w:r>
    </w:p>
    <w:p w14:paraId="4C3E2DF5" w14:textId="0ED86E33" w:rsidR="002B65AE" w:rsidRPr="00613BCA" w:rsidRDefault="002B65AE" w:rsidP="208842ED">
      <w:pPr>
        <w:pStyle w:val="Lijstalinea"/>
        <w:numPr>
          <w:ilvl w:val="0"/>
          <w:numId w:val="20"/>
        </w:numPr>
        <w:rPr>
          <w:color w:val="ED7D31" w:themeColor="accent2"/>
        </w:rPr>
      </w:pPr>
      <w:r w:rsidRPr="208842ED">
        <w:t>De CO2-uitstoot die vrijkomt in het transport- en aanlegproces met 10% reduceren</w:t>
      </w:r>
      <w:r w:rsidR="013D52A5" w:rsidRPr="208842ED">
        <w:t>;</w:t>
      </w:r>
    </w:p>
    <w:p w14:paraId="0559E12C" w14:textId="200B857F" w:rsidR="0FE62CA9" w:rsidRPr="00613BCA" w:rsidRDefault="0B53C8ED" w:rsidP="208842ED">
      <w:pPr>
        <w:pStyle w:val="Lijstalinea"/>
        <w:numPr>
          <w:ilvl w:val="1"/>
          <w:numId w:val="20"/>
        </w:numPr>
        <w:rPr>
          <w:color w:val="ED7D31" w:themeColor="accent2"/>
        </w:rPr>
      </w:pPr>
      <w:r w:rsidRPr="208842ED">
        <w:t xml:space="preserve">2023: </w:t>
      </w:r>
      <w:r w:rsidR="0FE62CA9" w:rsidRPr="208842ED">
        <w:t xml:space="preserve">Doorlopende doelstelling, welke na impactberekeningen van een </w:t>
      </w:r>
      <w:r w:rsidR="45335705" w:rsidRPr="208842ED">
        <w:t>twee</w:t>
      </w:r>
      <w:r w:rsidR="6872FFFB" w:rsidRPr="208842ED">
        <w:t>de</w:t>
      </w:r>
      <w:r w:rsidR="0FE62CA9" w:rsidRPr="208842ED">
        <w:t xml:space="preserve"> collectorveld kan worden gespecificeerd.</w:t>
      </w:r>
      <w:r w:rsidR="1722DAA2" w:rsidRPr="208842ED">
        <w:t xml:space="preserve"> Elke situatie rondom de opzet van een collectorveld zal anders zijn, afbakening van de reductiemogelijkheden worden nader bepaald.</w:t>
      </w:r>
    </w:p>
    <w:p w14:paraId="13E9684D" w14:textId="173FB83A" w:rsidR="002261A7" w:rsidRPr="00613BCA" w:rsidRDefault="307FEF1F" w:rsidP="208842ED">
      <w:pPr>
        <w:pStyle w:val="Lijstalinea"/>
        <w:numPr>
          <w:ilvl w:val="1"/>
          <w:numId w:val="20"/>
        </w:numPr>
        <w:rPr>
          <w:color w:val="ED7D31" w:themeColor="accent2"/>
        </w:rPr>
      </w:pPr>
      <w:r w:rsidRPr="208842ED">
        <w:t xml:space="preserve">2024: </w:t>
      </w:r>
      <w:r w:rsidR="001D19A0" w:rsidRPr="208842ED">
        <w:t xml:space="preserve">Er is nog geen tweede </w:t>
      </w:r>
      <w:r w:rsidR="007210EE" w:rsidRPr="208842ED">
        <w:t>impactberekening opgesteld.</w:t>
      </w:r>
      <w:r w:rsidR="009254D0" w:rsidRPr="208842ED">
        <w:t xml:space="preserve"> Deze zal worden ingezet na het toepassen van collectorveld 3</w:t>
      </w:r>
      <w:r w:rsidR="005E099B" w:rsidRPr="208842ED">
        <w:t>.</w:t>
      </w:r>
    </w:p>
    <w:p w14:paraId="64578343" w14:textId="3BA3E313" w:rsidR="3A6F7D02" w:rsidRDefault="1057234C" w:rsidP="3A6F7D02">
      <w:pPr>
        <w:pStyle w:val="Lijstalinea"/>
        <w:numPr>
          <w:ilvl w:val="1"/>
          <w:numId w:val="20"/>
        </w:numPr>
      </w:pPr>
      <w:r w:rsidRPr="208842ED">
        <w:t xml:space="preserve">2025: </w:t>
      </w:r>
      <w:r w:rsidR="137AC8FF" w:rsidRPr="208842ED">
        <w:t>Er is nog geen tweede impactberekening opgesteld</w:t>
      </w:r>
      <w:r w:rsidR="4979D107" w:rsidRPr="208842ED">
        <w:t xml:space="preserve">, collectorvelden zullen vanaf heden worden opgebouwd op </w:t>
      </w:r>
      <w:r w:rsidR="20FAA3CF" w:rsidRPr="208842ED">
        <w:t xml:space="preserve">een lava-fundatie, zodra dit is gerealiseerd </w:t>
      </w:r>
      <w:r w:rsidR="20FAA3CF" w:rsidRPr="208842ED">
        <w:lastRenderedPageBreak/>
        <w:t>zal er een nieuwe impact berekening op basis van nieuwe materialen worden uitgevoerd.</w:t>
      </w:r>
    </w:p>
    <w:p w14:paraId="40A7FE91" w14:textId="4CC2B4F0" w:rsidR="5049E199" w:rsidRPr="00613BCA" w:rsidRDefault="5049E199" w:rsidP="208842ED">
      <w:pPr>
        <w:pStyle w:val="Lijstalinea"/>
        <w:numPr>
          <w:ilvl w:val="0"/>
          <w:numId w:val="20"/>
        </w:numPr>
        <w:rPr>
          <w:color w:val="ED7D31" w:themeColor="accent2"/>
        </w:rPr>
      </w:pPr>
      <w:r w:rsidRPr="208842ED">
        <w:t>Datakwaliteit in de ketenanalyse voortdurend verbeteren in samenwerking met partners</w:t>
      </w:r>
      <w:r w:rsidR="426C012B" w:rsidRPr="208842ED">
        <w:t>;</w:t>
      </w:r>
    </w:p>
    <w:p w14:paraId="14DCBA9B" w14:textId="2A98B056" w:rsidR="426C012B" w:rsidRPr="00613BCA" w:rsidRDefault="5855EED9" w:rsidP="208842ED">
      <w:pPr>
        <w:pStyle w:val="Lijstalinea"/>
        <w:numPr>
          <w:ilvl w:val="1"/>
          <w:numId w:val="20"/>
        </w:numPr>
        <w:rPr>
          <w:color w:val="ED7D31" w:themeColor="accent2"/>
        </w:rPr>
      </w:pPr>
      <w:r w:rsidRPr="208842ED">
        <w:t xml:space="preserve">2023: </w:t>
      </w:r>
      <w:r w:rsidR="426C012B" w:rsidRPr="208842ED">
        <w:t xml:space="preserve">Doorlopende </w:t>
      </w:r>
      <w:r w:rsidR="7DCCCFC4" w:rsidRPr="208842ED">
        <w:t>doelstelling,</w:t>
      </w:r>
      <w:r w:rsidR="426C012B" w:rsidRPr="208842ED">
        <w:t xml:space="preserve"> in collectorveld 2 (Zaanstad) zal ten behoeve van dataverzameling een flowmeter worden gemonteerd in het systeem</w:t>
      </w:r>
      <w:r w:rsidR="32749158" w:rsidRPr="208842ED">
        <w:t xml:space="preserve">, daarmee kan temperatuur, debiet en </w:t>
      </w:r>
      <w:r w:rsidR="34636EA9" w:rsidRPr="208842ED">
        <w:t>opbrengst worden gemonitord</w:t>
      </w:r>
      <w:r w:rsidR="426C012B" w:rsidRPr="208842ED">
        <w:t>.</w:t>
      </w:r>
    </w:p>
    <w:p w14:paraId="73C2A257" w14:textId="0DEED1DA" w:rsidR="0072359E" w:rsidRPr="00613BCA" w:rsidRDefault="7DA5EA3D" w:rsidP="208842ED">
      <w:pPr>
        <w:pStyle w:val="Lijstalinea"/>
        <w:numPr>
          <w:ilvl w:val="1"/>
          <w:numId w:val="20"/>
        </w:numPr>
        <w:rPr>
          <w:color w:val="ED7D31" w:themeColor="accent2"/>
        </w:rPr>
      </w:pPr>
      <w:r w:rsidRPr="208842ED">
        <w:t xml:space="preserve">2024: </w:t>
      </w:r>
      <w:r w:rsidR="00253B12" w:rsidRPr="208842ED">
        <w:t>Er heeft nog geen verbetering van datakwaliteit plaatsgevonden</w:t>
      </w:r>
      <w:r w:rsidR="006D44F7" w:rsidRPr="208842ED">
        <w:t>, aangezien er nog geen outputstromen zijn gemeten bij de aangebrachte collectorvelden.</w:t>
      </w:r>
    </w:p>
    <w:p w14:paraId="3D3C04BE" w14:textId="25E06F3A" w:rsidR="50EAF28B" w:rsidRDefault="50EAF28B" w:rsidP="208842ED">
      <w:pPr>
        <w:pStyle w:val="Lijstalinea"/>
        <w:numPr>
          <w:ilvl w:val="1"/>
          <w:numId w:val="20"/>
        </w:numPr>
      </w:pPr>
      <w:r w:rsidRPr="208842ED">
        <w:t xml:space="preserve">2025: </w:t>
      </w:r>
    </w:p>
    <w:p w14:paraId="504978D7" w14:textId="4AFCEAAB" w:rsidR="002B65AE" w:rsidRPr="00613BCA" w:rsidRDefault="002B65AE" w:rsidP="208842ED">
      <w:pPr>
        <w:pStyle w:val="Lijstalinea"/>
        <w:numPr>
          <w:ilvl w:val="0"/>
          <w:numId w:val="19"/>
        </w:numPr>
        <w:rPr>
          <w:color w:val="ED7D31" w:themeColor="accent2"/>
        </w:rPr>
      </w:pPr>
      <w:r w:rsidRPr="208842ED">
        <w:t>Zo veel mogelijk werken in bouwteams: een goede samenwerking</w:t>
      </w:r>
      <w:r w:rsidR="0013521E" w:rsidRPr="208842ED">
        <w:t xml:space="preserve"> met o.a. gemeenten is noodzakelijk om dit soort projecten te realiseren.</w:t>
      </w:r>
    </w:p>
    <w:p w14:paraId="421EEED3" w14:textId="0793EBAB" w:rsidR="00B473AA" w:rsidRPr="00613BCA" w:rsidRDefault="6ECA0C37" w:rsidP="208842ED">
      <w:pPr>
        <w:pStyle w:val="Lijstalinea"/>
        <w:numPr>
          <w:ilvl w:val="1"/>
          <w:numId w:val="19"/>
        </w:numPr>
        <w:rPr>
          <w:color w:val="ED7D31" w:themeColor="accent2"/>
        </w:rPr>
      </w:pPr>
      <w:r w:rsidRPr="208842ED">
        <w:t xml:space="preserve">2023: </w:t>
      </w:r>
      <w:r w:rsidR="76E747C1" w:rsidRPr="208842ED">
        <w:t>Doorlopende doelstelling</w:t>
      </w:r>
      <w:r w:rsidR="005141B5" w:rsidRPr="208842ED">
        <w:t>.</w:t>
      </w:r>
    </w:p>
    <w:p w14:paraId="25CFAFCD" w14:textId="5474A055" w:rsidR="00342878" w:rsidRPr="00613BCA" w:rsidRDefault="1F07A0BB" w:rsidP="208842ED">
      <w:pPr>
        <w:pStyle w:val="Lijstalinea"/>
        <w:numPr>
          <w:ilvl w:val="1"/>
          <w:numId w:val="19"/>
        </w:numPr>
        <w:rPr>
          <w:color w:val="ED7D31" w:themeColor="accent2"/>
        </w:rPr>
      </w:pPr>
      <w:r w:rsidRPr="208842ED">
        <w:t xml:space="preserve">2024: </w:t>
      </w:r>
      <w:r w:rsidR="00E06E9A" w:rsidRPr="208842ED">
        <w:t>Er zijn in 2024 verschillende bouwteam-projecten in uitvoering geweest, bijvoorbeeld:</w:t>
      </w:r>
    </w:p>
    <w:p w14:paraId="5D9C4807" w14:textId="76BB4295" w:rsidR="00E06E9A" w:rsidRPr="00613BCA" w:rsidRDefault="00E06E9A" w:rsidP="208842ED">
      <w:pPr>
        <w:pStyle w:val="Lijstalinea"/>
        <w:numPr>
          <w:ilvl w:val="2"/>
          <w:numId w:val="19"/>
        </w:numPr>
        <w:rPr>
          <w:color w:val="ED7D31" w:themeColor="accent2"/>
        </w:rPr>
      </w:pPr>
      <w:r w:rsidRPr="208842ED">
        <w:t>Loosbroek</w:t>
      </w:r>
      <w:r w:rsidR="00684EBD" w:rsidRPr="208842ED">
        <w:t xml:space="preserve"> &gt; Realisatie Sportpark Loosbroek</w:t>
      </w:r>
    </w:p>
    <w:p w14:paraId="3102AE5F" w14:textId="51060936" w:rsidR="00E06E9A" w:rsidRDefault="00E06E9A" w:rsidP="208842ED">
      <w:pPr>
        <w:pStyle w:val="Lijstalinea"/>
        <w:numPr>
          <w:ilvl w:val="2"/>
          <w:numId w:val="19"/>
        </w:numPr>
      </w:pPr>
      <w:r w:rsidRPr="208842ED">
        <w:t xml:space="preserve">Zaanstad </w:t>
      </w:r>
      <w:r w:rsidR="00684EBD" w:rsidRPr="208842ED">
        <w:t xml:space="preserve">&gt; Realisatie </w:t>
      </w:r>
      <w:r w:rsidRPr="208842ED">
        <w:t>Collectorveld</w:t>
      </w:r>
    </w:p>
    <w:p w14:paraId="19A5190C" w14:textId="4D6912D6" w:rsidR="74C611E3" w:rsidRDefault="74C611E3" w:rsidP="208842ED">
      <w:pPr>
        <w:pStyle w:val="Lijstalinea"/>
        <w:numPr>
          <w:ilvl w:val="1"/>
          <w:numId w:val="19"/>
        </w:numPr>
      </w:pPr>
      <w:r w:rsidRPr="208842ED">
        <w:t>2025: Een nieuwe ontwikkeling in de bouwteam-overeenkomst is de samenwerking tussen gemeente Amsterdam en SRO Haarlem.</w:t>
      </w:r>
      <w:r w:rsidR="1ECF842D" w:rsidRPr="208842ED">
        <w:t xml:space="preserve"> In het project </w:t>
      </w:r>
      <w:proofErr w:type="spellStart"/>
      <w:r w:rsidR="1ECF842D" w:rsidRPr="208842ED">
        <w:t>Scale</w:t>
      </w:r>
      <w:proofErr w:type="spellEnd"/>
      <w:r w:rsidR="1ECF842D" w:rsidRPr="208842ED">
        <w:t xml:space="preserve">-Up worden vanaf 2026 verschillende </w:t>
      </w:r>
      <w:r w:rsidR="33056C41" w:rsidRPr="208842ED">
        <w:t>projecten gerealiseerd. Niet voor beide opdrachtgevers, maar met beide opdrachtgevers.</w:t>
      </w:r>
    </w:p>
    <w:p w14:paraId="0FBA987F" w14:textId="3D746591" w:rsidR="33056C41" w:rsidRDefault="33056C41" w:rsidP="208842ED">
      <w:pPr>
        <w:pStyle w:val="Lijstalinea"/>
        <w:ind w:left="1440"/>
      </w:pPr>
      <w:r w:rsidRPr="208842ED">
        <w:t>In samenwerking worden pilotvelden gerealiseerd welke bij succes kunnen worden toegepast op grote schaal. Om dit haalbaar te maken, is er een samenwerking van 10 jaar vastgelegd tussen aannemers en opdrachtgevers.</w:t>
      </w:r>
    </w:p>
    <w:p w14:paraId="254B45E6" w14:textId="77777777" w:rsidR="005141B5" w:rsidRPr="00613BCA" w:rsidRDefault="005141B5" w:rsidP="208842ED">
      <w:pPr>
        <w:rPr>
          <w:color w:val="ED7D31" w:themeColor="accent2"/>
        </w:rPr>
      </w:pPr>
    </w:p>
    <w:p w14:paraId="392CAF0E" w14:textId="5C7F9FE5" w:rsidR="00B06E7D" w:rsidRPr="00613BCA" w:rsidRDefault="005141B5" w:rsidP="208842ED">
      <w:pPr>
        <w:rPr>
          <w:color w:val="ED7D31" w:themeColor="accent2"/>
        </w:rPr>
      </w:pPr>
      <w:r w:rsidRPr="208842ED">
        <w:t xml:space="preserve">Naast de bovengenoemde specifieke </w:t>
      </w:r>
      <w:r w:rsidR="00927A8D" w:rsidRPr="208842ED">
        <w:t xml:space="preserve">subdoelstellingen zijn er nog algemene actiepunten </w:t>
      </w:r>
      <w:r w:rsidR="003136F7" w:rsidRPr="208842ED">
        <w:t>opgesteld welke doorlopend zijn:</w:t>
      </w:r>
    </w:p>
    <w:p w14:paraId="15ED33A6" w14:textId="77777777" w:rsidR="00B06E7D" w:rsidRPr="00613BCA" w:rsidRDefault="00B06E7D" w:rsidP="208842ED">
      <w:pPr>
        <w:rPr>
          <w:color w:val="ED7D31" w:themeColor="accent2"/>
        </w:rPr>
      </w:pPr>
    </w:p>
    <w:p w14:paraId="37BCE8DF" w14:textId="2058A8BF" w:rsidR="00B473AA" w:rsidRPr="00613BCA" w:rsidRDefault="00B473AA" w:rsidP="208842ED">
      <w:pPr>
        <w:rPr>
          <w:color w:val="ED7D31" w:themeColor="accent2"/>
        </w:rPr>
      </w:pPr>
      <w:r w:rsidRPr="208842ED">
        <w:t xml:space="preserve">• </w:t>
      </w:r>
      <w:r w:rsidR="6B11FA0A" w:rsidRPr="208842ED">
        <w:t>B</w:t>
      </w:r>
      <w:r w:rsidR="2C6F52A6" w:rsidRPr="208842ED">
        <w:t>etrekken</w:t>
      </w:r>
      <w:r w:rsidRPr="208842ED">
        <w:t xml:space="preserve"> van aannemers/concurrentie: stimuleren om aan</w:t>
      </w:r>
    </w:p>
    <w:p w14:paraId="12B241FE" w14:textId="45FB5301" w:rsidR="0F11963C" w:rsidRPr="00613BCA" w:rsidRDefault="0F11963C" w:rsidP="208842ED">
      <w:pPr>
        <w:rPr>
          <w:color w:val="ED7D31" w:themeColor="accent2"/>
        </w:rPr>
      </w:pPr>
      <w:r w:rsidRPr="208842ED">
        <w:t>D</w:t>
      </w:r>
      <w:r w:rsidR="2C6F52A6" w:rsidRPr="208842ED">
        <w:t>oor</w:t>
      </w:r>
      <w:r w:rsidRPr="208842ED">
        <w:t>-</w:t>
      </w:r>
      <w:r w:rsidR="2C6F52A6" w:rsidRPr="208842ED">
        <w:t>ontwikkeling te doen</w:t>
      </w:r>
      <w:r w:rsidR="2677DADF" w:rsidRPr="208842ED">
        <w:t>.</w:t>
      </w:r>
    </w:p>
    <w:p w14:paraId="13289CE5" w14:textId="77777777" w:rsidR="00B473AA" w:rsidRPr="00613BCA" w:rsidRDefault="00B473AA" w:rsidP="208842ED">
      <w:pPr>
        <w:rPr>
          <w:color w:val="ED7D31" w:themeColor="accent2"/>
        </w:rPr>
      </w:pPr>
      <w:r w:rsidRPr="208842ED">
        <w:t>• Evaluaties met projectpartners</w:t>
      </w:r>
    </w:p>
    <w:p w14:paraId="1817ADAC" w14:textId="77777777" w:rsidR="00B473AA" w:rsidRPr="00613BCA" w:rsidRDefault="00B473AA" w:rsidP="208842ED">
      <w:pPr>
        <w:rPr>
          <w:color w:val="ED7D31" w:themeColor="accent2"/>
        </w:rPr>
      </w:pPr>
      <w:r w:rsidRPr="208842ED">
        <w:t>• Presentaties, bewustwording, kennisdeling</w:t>
      </w:r>
    </w:p>
    <w:p w14:paraId="7DD4C41D" w14:textId="04974A92" w:rsidR="003969F9" w:rsidRPr="00613BCA" w:rsidRDefault="003969F9" w:rsidP="208842ED">
      <w:pPr>
        <w:rPr>
          <w:color w:val="ED7D31" w:themeColor="accent2"/>
        </w:rPr>
      </w:pPr>
    </w:p>
    <w:p w14:paraId="7DC76AFD" w14:textId="35A67362" w:rsidR="4CA05765" w:rsidRDefault="4CA05765" w:rsidP="4CA05765">
      <w:pPr>
        <w:rPr>
          <w:color w:val="ED7D31" w:themeColor="accent2"/>
        </w:rPr>
      </w:pPr>
    </w:p>
    <w:p w14:paraId="5CA4181F" w14:textId="78958D85" w:rsidR="00EA6E09" w:rsidRDefault="006C3AE7" w:rsidP="00310CF3">
      <w:pPr>
        <w:rPr>
          <w:color w:val="ED7D31" w:themeColor="accent2"/>
        </w:rPr>
      </w:pPr>
      <w:r w:rsidRPr="006C3AE7">
        <w:rPr>
          <w:noProof/>
        </w:rPr>
        <w:drawing>
          <wp:inline distT="0" distB="0" distL="0" distR="0" wp14:anchorId="433EE2F1" wp14:editId="2A295471">
            <wp:extent cx="5760720" cy="3270250"/>
            <wp:effectExtent l="0" t="0" r="0" b="6350"/>
            <wp:docPr id="1171284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270250"/>
                    </a:xfrm>
                    <a:prstGeom prst="rect">
                      <a:avLst/>
                    </a:prstGeom>
                    <a:noFill/>
                    <a:ln>
                      <a:noFill/>
                    </a:ln>
                  </pic:spPr>
                </pic:pic>
              </a:graphicData>
            </a:graphic>
          </wp:inline>
        </w:drawing>
      </w:r>
    </w:p>
    <w:p w14:paraId="25C68AF0" w14:textId="77777777" w:rsidR="006C3AE7" w:rsidRPr="00613BCA" w:rsidRDefault="006C3AE7" w:rsidP="00310CF3">
      <w:pPr>
        <w:rPr>
          <w:color w:val="ED7D31" w:themeColor="accent2"/>
        </w:rPr>
      </w:pPr>
    </w:p>
    <w:p w14:paraId="18F7D831" w14:textId="70A25451" w:rsidR="00A6368E" w:rsidRPr="00FE782F" w:rsidRDefault="00A6368E" w:rsidP="00310CF3">
      <w:r w:rsidRPr="00FE782F">
        <w:lastRenderedPageBreak/>
        <w:t xml:space="preserve">De absolute </w:t>
      </w:r>
      <w:r w:rsidR="000431EC" w:rsidRPr="00FE782F">
        <w:t>uitstoot</w:t>
      </w:r>
      <w:r w:rsidRPr="00FE782F">
        <w:t xml:space="preserve"> </w:t>
      </w:r>
      <w:r w:rsidR="00233D87" w:rsidRPr="00FE782F">
        <w:t>van de scope 3 emissies is in 202</w:t>
      </w:r>
      <w:r w:rsidR="006F60D9" w:rsidRPr="00FE782F">
        <w:t>5</w:t>
      </w:r>
      <w:r w:rsidR="0065036A" w:rsidRPr="00FE782F">
        <w:t xml:space="preserve"> gestegen</w:t>
      </w:r>
      <w:r w:rsidR="006F60D9" w:rsidRPr="00FE782F">
        <w:t xml:space="preserve"> vergeleken 2024</w:t>
      </w:r>
      <w:r w:rsidR="00647A91" w:rsidRPr="00FE782F">
        <w:t>. Een van de redenen</w:t>
      </w:r>
      <w:r w:rsidR="004877E7" w:rsidRPr="00FE782F">
        <w:t xml:space="preserve"> is de toen</w:t>
      </w:r>
      <w:r w:rsidR="0097597C" w:rsidRPr="00FE782F">
        <w:t>ame in aangekochte goederen en diensten in 202</w:t>
      </w:r>
      <w:r w:rsidR="006F60D9" w:rsidRPr="00FE782F">
        <w:t>5</w:t>
      </w:r>
      <w:r w:rsidR="00614E62" w:rsidRPr="00FE782F">
        <w:t>, waarbij de crediteurenlijst een hoger bedrag had vergeleken 202</w:t>
      </w:r>
      <w:r w:rsidR="00FE782F" w:rsidRPr="00FE782F">
        <w:t>4</w:t>
      </w:r>
      <w:r w:rsidR="000F0397" w:rsidRPr="00FE782F">
        <w:t xml:space="preserve"> (19 miljoen </w:t>
      </w:r>
      <w:r w:rsidR="00077618" w:rsidRPr="00FE782F">
        <w:t>vs.</w:t>
      </w:r>
      <w:r w:rsidR="000F0397" w:rsidRPr="00FE782F">
        <w:t xml:space="preserve"> 1</w:t>
      </w:r>
      <w:r w:rsidR="00FE782F" w:rsidRPr="00FE782F">
        <w:t>5</w:t>
      </w:r>
      <w:r w:rsidR="000F0397" w:rsidRPr="00FE782F">
        <w:t xml:space="preserve"> miljoen</w:t>
      </w:r>
      <w:r w:rsidR="00FE782F" w:rsidRPr="00FE782F">
        <w:t xml:space="preserve"> binnen de 80%</w:t>
      </w:r>
      <w:r w:rsidR="000F0397" w:rsidRPr="00FE782F">
        <w:t xml:space="preserve">). </w:t>
      </w:r>
    </w:p>
    <w:p w14:paraId="50F0A244" w14:textId="078057E0" w:rsidR="00614E62" w:rsidRPr="00613BCA" w:rsidRDefault="00614E62" w:rsidP="00614E62">
      <w:pPr>
        <w:rPr>
          <w:color w:val="ED7D31" w:themeColor="accent2"/>
        </w:rPr>
      </w:pPr>
    </w:p>
    <w:p w14:paraId="7BC009B1" w14:textId="193FDF20" w:rsidR="00310CF3" w:rsidRPr="00F07C16" w:rsidRDefault="006C3AE7" w:rsidP="001E672D">
      <w:r>
        <w:t>D</w:t>
      </w:r>
      <w:r w:rsidR="00614E62" w:rsidRPr="00F07C16">
        <w:t>e hoeveelheid afval is in 202</w:t>
      </w:r>
      <w:r w:rsidR="00FE782F" w:rsidRPr="00F07C16">
        <w:t xml:space="preserve">5 </w:t>
      </w:r>
      <w:r w:rsidR="0018653C">
        <w:t>iets gedaald</w:t>
      </w:r>
      <w:r w:rsidR="00FE782F" w:rsidRPr="00F07C16">
        <w:t xml:space="preserve">, wat direct afhangt van het aantal projecten dat is gedraaid in 2025. </w:t>
      </w:r>
    </w:p>
    <w:p w14:paraId="03ABE5E1" w14:textId="1C30BBE1" w:rsidR="34211287" w:rsidRDefault="34211287" w:rsidP="34211287"/>
    <w:p w14:paraId="5CE89298" w14:textId="77777777" w:rsidR="000F623E" w:rsidRDefault="000F623E" w:rsidP="003837D1">
      <w:pPr>
        <w:pStyle w:val="Kop2"/>
      </w:pPr>
      <w:bookmarkStart w:id="111" w:name="_Energiebeoordeling"/>
      <w:bookmarkStart w:id="112" w:name="_Toc142472138"/>
      <w:bookmarkEnd w:id="111"/>
      <w:r>
        <w:t>Energiebeoordeling</w:t>
      </w:r>
      <w:bookmarkEnd w:id="112"/>
    </w:p>
    <w:p w14:paraId="614CB4F2" w14:textId="13C6A366" w:rsidR="00220745" w:rsidRDefault="00EA7E38" w:rsidP="001A14E7">
      <w:pPr>
        <w:rPr>
          <w:szCs w:val="20"/>
        </w:rPr>
      </w:pPr>
      <w:proofErr w:type="gramStart"/>
      <w:r>
        <w:t>Middels</w:t>
      </w:r>
      <w:proofErr w:type="gramEnd"/>
      <w:r>
        <w:t xml:space="preserve"> de energiebeoordeling wordt</w:t>
      </w:r>
      <w:r w:rsidRPr="00EF435F">
        <w:t xml:space="preserve"> inzicht </w:t>
      </w:r>
      <w:r>
        <w:t>verkregen</w:t>
      </w:r>
      <w:r w:rsidRPr="00EF435F">
        <w:t xml:space="preserve"> in de grootste energieverbruikers binnen de </w:t>
      </w:r>
      <w:r>
        <w:t>organisatie</w:t>
      </w:r>
      <w:r w:rsidRPr="00EF435F">
        <w:t xml:space="preserve">. </w:t>
      </w:r>
      <w:r w:rsidR="003F67AD">
        <w:t xml:space="preserve">Deze beoordeling wordt uitgevoerd </w:t>
      </w:r>
      <w:proofErr w:type="gramStart"/>
      <w:r w:rsidR="003F67AD">
        <w:t>conform</w:t>
      </w:r>
      <w:proofErr w:type="gramEnd"/>
      <w:r w:rsidR="003F67AD">
        <w:t xml:space="preserve"> ISO 50001</w:t>
      </w:r>
      <w:r w:rsidR="00CA71DD">
        <w:t xml:space="preserve">. </w:t>
      </w:r>
      <w:r w:rsidRPr="00EF435F">
        <w:t>De CO</w:t>
      </w:r>
      <w:r w:rsidRPr="00292ACB">
        <w:rPr>
          <w:vertAlign w:val="subscript"/>
        </w:rPr>
        <w:t>2</w:t>
      </w:r>
      <w:r w:rsidRPr="00EF435F">
        <w:t>-Prestatieladder vereist dat er inzicht wordt verkregen in</w:t>
      </w:r>
      <w:r>
        <w:t xml:space="preserve"> de</w:t>
      </w:r>
      <w:r w:rsidRPr="0014555F">
        <w:rPr>
          <w:szCs w:val="20"/>
        </w:rPr>
        <w:t xml:space="preserve"> 80% </w:t>
      </w:r>
      <w:r>
        <w:rPr>
          <w:szCs w:val="20"/>
        </w:rPr>
        <w:t xml:space="preserve">grootste verbruikers. </w:t>
      </w:r>
      <w:r w:rsidRPr="0094017C">
        <w:rPr>
          <w:szCs w:val="20"/>
        </w:rPr>
        <w:t xml:space="preserve">Hierdoor kunnen de belangrijkste processen, gebouwen en/of activiteiten die bijdragen aan </w:t>
      </w:r>
      <w:r w:rsidR="005A7F0A">
        <w:rPr>
          <w:rFonts w:cs="Calibri"/>
          <w:szCs w:val="20"/>
          <w:lang w:eastAsia="nl-NL"/>
        </w:rPr>
        <w:t xml:space="preserve">het energieverbruik en mogelijk ook de </w:t>
      </w:r>
      <w:r w:rsidR="005A7F0A" w:rsidRPr="005A7F0A">
        <w:rPr>
          <w:rFonts w:cs="Calibri"/>
          <w:szCs w:val="20"/>
          <w:lang w:eastAsia="nl-NL"/>
        </w:rPr>
        <w:t>CO</w:t>
      </w:r>
      <w:r w:rsidR="005A7F0A" w:rsidRPr="005A7F0A">
        <w:rPr>
          <w:rFonts w:cs="Calibri"/>
          <w:szCs w:val="20"/>
          <w:vertAlign w:val="subscript"/>
          <w:lang w:eastAsia="nl-NL"/>
        </w:rPr>
        <w:t>2</w:t>
      </w:r>
      <w:r w:rsidR="005A7F0A">
        <w:rPr>
          <w:rFonts w:cs="Calibri"/>
          <w:szCs w:val="20"/>
          <w:lang w:eastAsia="nl-NL"/>
        </w:rPr>
        <w:t>-uitstoot</w:t>
      </w:r>
      <w:r w:rsidRPr="0094017C">
        <w:rPr>
          <w:szCs w:val="20"/>
        </w:rPr>
        <w:t xml:space="preserve"> effectief aangepakt worden. </w:t>
      </w:r>
      <w:r w:rsidR="005A7F0A">
        <w:rPr>
          <w:szCs w:val="20"/>
        </w:rPr>
        <w:t>De analyse is gebaseerd op berekeningen uit het Excel document “</w:t>
      </w:r>
      <w:r w:rsidR="005A7F0A" w:rsidRPr="005A7F0A">
        <w:rPr>
          <w:szCs w:val="20"/>
        </w:rPr>
        <w:t>CO</w:t>
      </w:r>
      <w:r w:rsidR="005A7F0A" w:rsidRPr="005A7F0A">
        <w:rPr>
          <w:szCs w:val="20"/>
          <w:vertAlign w:val="subscript"/>
        </w:rPr>
        <w:t>2</w:t>
      </w:r>
      <w:r w:rsidR="005A7F0A">
        <w:rPr>
          <w:szCs w:val="20"/>
        </w:rPr>
        <w:t>-</w:t>
      </w:r>
      <w:r w:rsidR="00240A84">
        <w:rPr>
          <w:szCs w:val="20"/>
        </w:rPr>
        <w:t>d</w:t>
      </w:r>
      <w:r w:rsidR="005A7F0A">
        <w:rPr>
          <w:szCs w:val="20"/>
        </w:rPr>
        <w:t xml:space="preserve">ashboard”. </w:t>
      </w:r>
      <w:r w:rsidR="009F6925" w:rsidRPr="00EA78BC">
        <w:rPr>
          <w:szCs w:val="20"/>
        </w:rPr>
        <w:t>Deze energiebeoordeling is uitgevoerd over 202</w:t>
      </w:r>
      <w:r w:rsidR="009F6925">
        <w:rPr>
          <w:szCs w:val="20"/>
        </w:rPr>
        <w:t>3.</w:t>
      </w:r>
    </w:p>
    <w:p w14:paraId="56C69F0D" w14:textId="77777777" w:rsidR="00150924" w:rsidRDefault="00150924" w:rsidP="001A14E7">
      <w:pPr>
        <w:rPr>
          <w:szCs w:val="20"/>
        </w:rPr>
      </w:pPr>
    </w:p>
    <w:p w14:paraId="1CD08839" w14:textId="77777777" w:rsidR="00150924" w:rsidRDefault="00150924" w:rsidP="00150924">
      <w:pPr>
        <w:pStyle w:val="Kop3"/>
      </w:pPr>
      <w:bookmarkStart w:id="113" w:name="_Toc142472139"/>
      <w:r>
        <w:t>Energieverbruik</w:t>
      </w:r>
      <w:bookmarkEnd w:id="113"/>
    </w:p>
    <w:p w14:paraId="0706A5A9" w14:textId="77777777" w:rsidR="00150924" w:rsidRDefault="00150924" w:rsidP="00150924">
      <w:r w:rsidRPr="009A6BB3">
        <w:t xml:space="preserve">In onderstaande tabel zijn de </w:t>
      </w:r>
      <w:r w:rsidR="00C35FE9" w:rsidRPr="009A6BB3">
        <w:t>energie</w:t>
      </w:r>
      <w:r w:rsidRPr="009A6BB3">
        <w:t xml:space="preserve">verbruiken weergegeven voor scope 1, 2 en business </w:t>
      </w:r>
      <w:proofErr w:type="spellStart"/>
      <w:r w:rsidRPr="009A6BB3">
        <w:t>travel</w:t>
      </w:r>
      <w:proofErr w:type="spellEnd"/>
      <w:r w:rsidRPr="009A6BB3">
        <w:t>.</w:t>
      </w:r>
    </w:p>
    <w:p w14:paraId="50272295" w14:textId="77777777" w:rsidR="009A6BB3" w:rsidRPr="009A6BB3" w:rsidRDefault="009A6BB3" w:rsidP="00150924"/>
    <w:p w14:paraId="250E0BA7" w14:textId="696A2118" w:rsidR="00150924" w:rsidRDefault="00150924" w:rsidP="009A6BB3"/>
    <w:p w14:paraId="40CA0119" w14:textId="65A624E5" w:rsidR="00240A84" w:rsidRPr="00C35FE9" w:rsidRDefault="00C81804" w:rsidP="001A14E7">
      <w:pPr>
        <w:rPr>
          <w:szCs w:val="20"/>
        </w:rPr>
      </w:pPr>
      <w:r w:rsidRPr="00C81804">
        <w:rPr>
          <w:noProof/>
        </w:rPr>
        <w:drawing>
          <wp:inline distT="0" distB="0" distL="0" distR="0" wp14:anchorId="71BAC23C" wp14:editId="07C62D62">
            <wp:extent cx="5760720" cy="1540510"/>
            <wp:effectExtent l="0" t="0" r="0" b="2540"/>
            <wp:docPr id="8114365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540510"/>
                    </a:xfrm>
                    <a:prstGeom prst="rect">
                      <a:avLst/>
                    </a:prstGeom>
                    <a:noFill/>
                    <a:ln>
                      <a:noFill/>
                    </a:ln>
                  </pic:spPr>
                </pic:pic>
              </a:graphicData>
            </a:graphic>
          </wp:inline>
        </w:drawing>
      </w:r>
    </w:p>
    <w:p w14:paraId="2099007D" w14:textId="77777777" w:rsidR="00240A84" w:rsidRDefault="006031D0" w:rsidP="003837D1">
      <w:pPr>
        <w:pStyle w:val="Kop3"/>
      </w:pPr>
      <w:bookmarkStart w:id="114" w:name="_Toc142472140"/>
      <w:r>
        <w:t>Identificatie</w:t>
      </w:r>
      <w:r w:rsidR="00944661">
        <w:t xml:space="preserve"> grootste</w:t>
      </w:r>
      <w:r>
        <w:t xml:space="preserve"> </w:t>
      </w:r>
      <w:r w:rsidR="00944661">
        <w:t>energiestromen</w:t>
      </w:r>
      <w:bookmarkEnd w:id="114"/>
    </w:p>
    <w:p w14:paraId="28B47E2C" w14:textId="58ED5FE8" w:rsidR="00811106" w:rsidRDefault="00F900FB" w:rsidP="00F900FB">
      <w:r>
        <w:t xml:space="preserve">In onderstaande figuur worden de grootste </w:t>
      </w:r>
      <w:r w:rsidR="66DAAB9B">
        <w:t>80% van de</w:t>
      </w:r>
      <w:r w:rsidR="125B6888">
        <w:t xml:space="preserve"> </w:t>
      </w:r>
      <w:r>
        <w:t xml:space="preserve">energiestromen in GJ weergegeven. </w:t>
      </w:r>
    </w:p>
    <w:p w14:paraId="2F5931C1" w14:textId="77777777" w:rsidR="00FD3DC6" w:rsidRDefault="00FD3DC6" w:rsidP="00FD3DC6">
      <w:pPr>
        <w:rPr>
          <w:color w:val="ED7D31" w:themeColor="accent2"/>
          <w:szCs w:val="20"/>
        </w:rPr>
      </w:pPr>
    </w:p>
    <w:p w14:paraId="0BD695CE" w14:textId="1D3340EA" w:rsidR="00FD3DC6" w:rsidRPr="001C15EB" w:rsidRDefault="00C81804" w:rsidP="00003A47">
      <w:pPr>
        <w:rPr>
          <w:b/>
          <w:bCs/>
          <w:color w:val="FF0000"/>
        </w:rPr>
      </w:pPr>
      <w:r>
        <w:t>￼</w:t>
      </w:r>
    </w:p>
    <w:p w14:paraId="423DA766" w14:textId="77777777" w:rsidR="00EA7E38" w:rsidRDefault="00EA7E38" w:rsidP="001A14E7">
      <w:pPr>
        <w:rPr>
          <w:color w:val="ED7D31" w:themeColor="accent2"/>
        </w:rPr>
      </w:pPr>
    </w:p>
    <w:p w14:paraId="524BCA4C" w14:textId="77777777" w:rsidR="00A62B07" w:rsidRDefault="007B51E6" w:rsidP="001A14E7">
      <w:pPr>
        <w:rPr>
          <w:color w:val="000000" w:themeColor="text1"/>
        </w:rPr>
      </w:pPr>
      <w:r>
        <w:rPr>
          <w:color w:val="000000" w:themeColor="text1"/>
        </w:rPr>
        <w:t>D</w:t>
      </w:r>
      <w:r w:rsidR="00C97964">
        <w:rPr>
          <w:color w:val="000000" w:themeColor="text1"/>
        </w:rPr>
        <w:t xml:space="preserve">e </w:t>
      </w:r>
      <w:r>
        <w:rPr>
          <w:color w:val="000000" w:themeColor="text1"/>
        </w:rPr>
        <w:t xml:space="preserve">geïdentificeerde </w:t>
      </w:r>
      <w:r w:rsidR="00C97964">
        <w:rPr>
          <w:color w:val="000000" w:themeColor="text1"/>
        </w:rPr>
        <w:t>grootste energie</w:t>
      </w:r>
      <w:r w:rsidR="00F900FB">
        <w:rPr>
          <w:color w:val="000000" w:themeColor="text1"/>
        </w:rPr>
        <w:t xml:space="preserve">stromen </w:t>
      </w:r>
      <w:r>
        <w:rPr>
          <w:color w:val="000000" w:themeColor="text1"/>
        </w:rPr>
        <w:t>worden hieronder geanalyseerd.</w:t>
      </w:r>
    </w:p>
    <w:p w14:paraId="409CA212" w14:textId="77777777" w:rsidR="007B51E6" w:rsidRDefault="007B51E6" w:rsidP="001A14E7">
      <w:pPr>
        <w:rPr>
          <w:color w:val="000000" w:themeColor="text1"/>
        </w:rPr>
      </w:pPr>
    </w:p>
    <w:p w14:paraId="7BF31F56" w14:textId="47C314A6" w:rsidR="000A5D4D" w:rsidRDefault="0059379E" w:rsidP="00D02488">
      <w:pPr>
        <w:pStyle w:val="Kop3"/>
      </w:pPr>
      <w:bookmarkStart w:id="115" w:name="_Toc142472141"/>
      <w:r w:rsidRPr="006569EE">
        <w:t xml:space="preserve">Analyse </w:t>
      </w:r>
      <w:bookmarkEnd w:id="115"/>
      <w:r w:rsidR="00D02488" w:rsidRPr="006569EE">
        <w:t xml:space="preserve">brandstofverbruik </w:t>
      </w:r>
      <w:r w:rsidR="00AA1D38" w:rsidRPr="006569EE">
        <w:t>wagenpark</w:t>
      </w:r>
    </w:p>
    <w:p w14:paraId="6C984859" w14:textId="28CA6666" w:rsidR="0068697E" w:rsidRDefault="006061FC" w:rsidP="0068697E">
      <w:pPr>
        <w:spacing w:line="276" w:lineRule="auto"/>
      </w:pPr>
      <w:r>
        <w:t>Van</w:t>
      </w:r>
      <w:r w:rsidR="0068697E" w:rsidRPr="00585EE2">
        <w:t xml:space="preserve"> de </w:t>
      </w:r>
      <w:r w:rsidR="0010383D">
        <w:t>scope 1- en 2-emissies</w:t>
      </w:r>
      <w:r w:rsidR="0068697E" w:rsidRPr="00585EE2">
        <w:t xml:space="preserve"> CO</w:t>
      </w:r>
      <w:r w:rsidR="0068697E" w:rsidRPr="00585EE2">
        <w:rPr>
          <w:vertAlign w:val="subscript"/>
        </w:rPr>
        <w:t>2</w:t>
      </w:r>
      <w:r w:rsidR="0068697E" w:rsidRPr="00585EE2">
        <w:t xml:space="preserve">-uitstoot wordt </w:t>
      </w:r>
      <w:r w:rsidR="00C81804">
        <w:t>74</w:t>
      </w:r>
      <w:r w:rsidR="0010383D">
        <w:t>%</w:t>
      </w:r>
      <w:r w:rsidR="0068697E" w:rsidRPr="00585EE2">
        <w:t xml:space="preserve"> veroorzaakt door het brandstofverbruik van het wagenpark (</w:t>
      </w:r>
      <w:r w:rsidR="00690763" w:rsidRPr="00585EE2">
        <w:t>D</w:t>
      </w:r>
      <w:r w:rsidR="0068697E" w:rsidRPr="00585EE2">
        <w:t>iesel</w:t>
      </w:r>
      <w:r w:rsidR="00690763" w:rsidRPr="00585EE2">
        <w:t xml:space="preserve"> &amp; </w:t>
      </w:r>
      <w:r w:rsidR="00AB524A" w:rsidRPr="00585EE2">
        <w:t>elektriciteit</w:t>
      </w:r>
      <w:r w:rsidR="0068697E" w:rsidRPr="00585EE2">
        <w:t>). Op basis van de kentekens is er via het RDW achterhaald wat de kengetallen zijn van het wagenpark over 202</w:t>
      </w:r>
      <w:r w:rsidR="00C81804">
        <w:t>5</w:t>
      </w:r>
      <w:r w:rsidR="0068697E" w:rsidRPr="00585EE2">
        <w:t>. Deze analyse is terug te vinden als Exceldocument ‘</w:t>
      </w:r>
      <w:r w:rsidR="0068697E" w:rsidRPr="00585EE2">
        <w:rPr>
          <w:i/>
          <w:iCs/>
        </w:rPr>
        <w:t>energiebeoordeling wagenpark</w:t>
      </w:r>
      <w:r w:rsidR="0068697E" w:rsidRPr="00585EE2">
        <w:t>’. Het wagenpark ziet er als volgt uit:</w:t>
      </w:r>
    </w:p>
    <w:p w14:paraId="0B6FED18" w14:textId="77777777" w:rsidR="008B32A5" w:rsidRPr="00585EE2" w:rsidRDefault="008B32A5" w:rsidP="0068697E">
      <w:pPr>
        <w:spacing w:line="276" w:lineRule="auto"/>
      </w:pPr>
    </w:p>
    <w:p w14:paraId="2BF448D1" w14:textId="298F57DF" w:rsidR="00ED2788" w:rsidRDefault="008B32A5" w:rsidP="0068697E">
      <w:pPr>
        <w:spacing w:line="276" w:lineRule="auto"/>
      </w:pPr>
      <w:r>
        <w:t>￼</w:t>
      </w:r>
    </w:p>
    <w:p w14:paraId="690CC610" w14:textId="77777777" w:rsidR="0068697E" w:rsidRDefault="0068697E" w:rsidP="0068697E"/>
    <w:p w14:paraId="2A172FE7" w14:textId="3701515C" w:rsidR="0068697E" w:rsidRPr="002A007F" w:rsidRDefault="0068697E" w:rsidP="00BB2BA0">
      <w:pPr>
        <w:rPr>
          <w:rFonts w:eastAsia="Times New Roman" w:cs="Arial"/>
          <w:sz w:val="18"/>
          <w:szCs w:val="18"/>
          <w:lang w:eastAsia="nl-NL"/>
        </w:rPr>
      </w:pPr>
      <w:r w:rsidRPr="002A007F">
        <w:t xml:space="preserve">Maar liefst </w:t>
      </w:r>
      <w:r w:rsidR="00690763" w:rsidRPr="002A007F">
        <w:t>4</w:t>
      </w:r>
      <w:r w:rsidR="00F739F0" w:rsidRPr="002A007F">
        <w:t>4</w:t>
      </w:r>
      <w:r w:rsidRPr="002A007F">
        <w:t>% van het gehele wagenpark is volledig elektrisch. Deze voertuigen worden veelal opgeladen op eigen locatie (</w:t>
      </w:r>
      <w:proofErr w:type="gramStart"/>
      <w:r w:rsidRPr="002A007F">
        <w:t>middels</w:t>
      </w:r>
      <w:proofErr w:type="gramEnd"/>
      <w:r w:rsidRPr="002A007F">
        <w:t xml:space="preserve"> stroom gewonnen door zonnepanelen). </w:t>
      </w:r>
      <w:r w:rsidR="008B32A5" w:rsidRPr="002A007F">
        <w:t>Het aandeel extern geladen stroom betreft</w:t>
      </w:r>
      <w:r w:rsidR="00884415" w:rsidRPr="002A007F">
        <w:t xml:space="preserve"> enkel 32%, terwijl alle overige laadtransacties op </w:t>
      </w:r>
      <w:r w:rsidR="00EF5C54" w:rsidRPr="002A007F">
        <w:t xml:space="preserve">eigen locatie plaatsvinden. </w:t>
      </w:r>
      <w:r w:rsidR="26D6DA9C" w:rsidRPr="002A007F">
        <w:t xml:space="preserve">De </w:t>
      </w:r>
      <w:r w:rsidR="235935B1" w:rsidRPr="002A007F">
        <w:t>elektrische</w:t>
      </w:r>
      <w:r w:rsidRPr="002A007F">
        <w:t xml:space="preserve"> voertuigen worden zowel zakelijk als privé gebruikt</w:t>
      </w:r>
    </w:p>
    <w:p w14:paraId="56956D75" w14:textId="7229CE58" w:rsidR="0068697E" w:rsidRPr="002A007F" w:rsidRDefault="0068697E" w:rsidP="0068697E">
      <w:pPr>
        <w:spacing w:line="276" w:lineRule="auto"/>
      </w:pPr>
      <w:r w:rsidRPr="002A007F">
        <w:t>Ook is er gekeken naar de milieuclassificaties binnen het wagenpark. Het verschil wat betreft verbruik en uitstoot tussen een dieselauto in categorie 6 en categorie 4 is namelijk redelijk groot</w:t>
      </w:r>
      <w:r w:rsidR="003F25FA" w:rsidRPr="002A007F">
        <w:t xml:space="preserve">. Kijkend naar de </w:t>
      </w:r>
      <w:r w:rsidR="009B5888" w:rsidRPr="002A007F">
        <w:t>grafiek hieronder valt op dat in 202</w:t>
      </w:r>
      <w:r w:rsidR="006B61DC" w:rsidRPr="002A007F">
        <w:t>5</w:t>
      </w:r>
      <w:r w:rsidR="009B5888" w:rsidRPr="002A007F">
        <w:t xml:space="preserve"> een euro </w:t>
      </w:r>
      <w:r w:rsidR="006B61DC" w:rsidRPr="002A007F">
        <w:t>5</w:t>
      </w:r>
      <w:r w:rsidR="009B5888" w:rsidRPr="002A007F">
        <w:t xml:space="preserve"> busje is afgestoten en is vervangen voor een</w:t>
      </w:r>
      <w:r w:rsidR="006B61DC" w:rsidRPr="002A007F">
        <w:t xml:space="preserve"> 4</w:t>
      </w:r>
      <w:r w:rsidR="009B5888" w:rsidRPr="002A007F">
        <w:t xml:space="preserve"> euro 6 busje</w:t>
      </w:r>
      <w:r w:rsidR="006B61DC" w:rsidRPr="002A007F">
        <w:t>s</w:t>
      </w:r>
      <w:r w:rsidR="009B5888" w:rsidRPr="002A007F">
        <w:t xml:space="preserve">. Hiernaast zijn er in totaal </w:t>
      </w:r>
      <w:r w:rsidR="006B61DC" w:rsidRPr="002A007F">
        <w:t>3</w:t>
      </w:r>
      <w:r w:rsidR="00F3619F" w:rsidRPr="002A007F">
        <w:t xml:space="preserve"> elektrische </w:t>
      </w:r>
      <w:r w:rsidR="000B2168" w:rsidRPr="002A007F">
        <w:t>personenauto’s</w:t>
      </w:r>
      <w:r w:rsidR="00F3619F" w:rsidRPr="002A007F">
        <w:t xml:space="preserve"> bijgekomen. </w:t>
      </w:r>
    </w:p>
    <w:p w14:paraId="6B0B1D55" w14:textId="02F3FCF6" w:rsidR="00F95E30" w:rsidRPr="00C81804" w:rsidRDefault="00F95E30" w:rsidP="0068697E">
      <w:pPr>
        <w:spacing w:line="276" w:lineRule="auto"/>
        <w:rPr>
          <w:color w:val="ED7D31" w:themeColor="accent2"/>
        </w:rPr>
      </w:pPr>
    </w:p>
    <w:p w14:paraId="3D9518B7" w14:textId="131D7ADF" w:rsidR="0068697E" w:rsidRPr="00C81804" w:rsidRDefault="003064C1" w:rsidP="0068697E">
      <w:pPr>
        <w:spacing w:line="276" w:lineRule="auto"/>
        <w:rPr>
          <w:color w:val="ED7D31" w:themeColor="accent2"/>
        </w:rPr>
      </w:pPr>
      <w:r>
        <w:rPr>
          <w:noProof/>
          <w:color w:val="ED7D31" w:themeColor="accent2"/>
        </w:rPr>
        <w:lastRenderedPageBreak/>
        <w:drawing>
          <wp:inline distT="0" distB="0" distL="0" distR="0" wp14:anchorId="2EA3D7D8" wp14:editId="65A81810">
            <wp:extent cx="5182868" cy="2546909"/>
            <wp:effectExtent l="0" t="0" r="0" b="6350"/>
            <wp:docPr id="53917481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95876" cy="2553301"/>
                    </a:xfrm>
                    <a:prstGeom prst="rect">
                      <a:avLst/>
                    </a:prstGeom>
                    <a:noFill/>
                  </pic:spPr>
                </pic:pic>
              </a:graphicData>
            </a:graphic>
          </wp:inline>
        </w:drawing>
      </w:r>
    </w:p>
    <w:p w14:paraId="414ACD39" w14:textId="173062C1" w:rsidR="00F95E30" w:rsidRPr="00C81804" w:rsidRDefault="00F95E30" w:rsidP="0068697E">
      <w:pPr>
        <w:spacing w:line="276" w:lineRule="auto"/>
        <w:rPr>
          <w:color w:val="ED7D31" w:themeColor="accent2"/>
        </w:rPr>
      </w:pPr>
    </w:p>
    <w:p w14:paraId="555FB230" w14:textId="3B632CAC" w:rsidR="0068697E" w:rsidRPr="00531BEB" w:rsidRDefault="00A944F2" w:rsidP="00A944F2">
      <w:pPr>
        <w:spacing w:line="276" w:lineRule="auto"/>
      </w:pPr>
      <w:r w:rsidRPr="00531BEB">
        <w:t xml:space="preserve">Ook is het advies om bij aanschaf van nieuwe voertuigen te kiezen voor elektrisch </w:t>
      </w:r>
      <w:proofErr w:type="gramStart"/>
      <w:r w:rsidRPr="00531BEB">
        <w:t>indien</w:t>
      </w:r>
      <w:proofErr w:type="gramEnd"/>
      <w:r w:rsidRPr="00531BEB">
        <w:t xml:space="preserve"> dit mogelijk is. </w:t>
      </w:r>
      <w:r w:rsidR="0068697E" w:rsidRPr="00531BEB">
        <w:t>Het aanschaffen van nieuwe wagens kan een flinke investering zijn en natuurlijk is de scope 3 impact (grondstoffen, productieproces, etc.) ook iets om rekening mee te houden. Echter, wanneer deze wagens nog steeds veel kilometers maken kan het zowel financieel als milieutechnisch aantrekkelijk zijn om een alternatief te vinden.</w:t>
      </w:r>
    </w:p>
    <w:p w14:paraId="5343B8CC" w14:textId="77777777" w:rsidR="0068697E" w:rsidRPr="00C81804" w:rsidRDefault="0068697E" w:rsidP="0068697E">
      <w:pPr>
        <w:spacing w:line="276" w:lineRule="auto"/>
        <w:rPr>
          <w:color w:val="ED7D31" w:themeColor="accent2"/>
        </w:rPr>
      </w:pPr>
    </w:p>
    <w:p w14:paraId="7089ABFF" w14:textId="77777777" w:rsidR="0068697E" w:rsidRPr="00C81804" w:rsidRDefault="0068697E" w:rsidP="0068697E">
      <w:pPr>
        <w:rPr>
          <w:color w:val="ED7D31" w:themeColor="accent2"/>
        </w:rPr>
      </w:pPr>
    </w:p>
    <w:p w14:paraId="5A99AB64" w14:textId="2B7781C7" w:rsidR="00AA1D38" w:rsidRDefault="00AA1D38" w:rsidP="006569EE">
      <w:pPr>
        <w:pStyle w:val="Kop3"/>
      </w:pPr>
      <w:r w:rsidRPr="006569EE">
        <w:t xml:space="preserve">Analyse </w:t>
      </w:r>
      <w:r w:rsidR="006569EE" w:rsidRPr="006569EE">
        <w:t>brandstofverbruik bedrijfsmiddelen</w:t>
      </w:r>
    </w:p>
    <w:p w14:paraId="6E4EA465" w14:textId="77777777" w:rsidR="007A5D9C" w:rsidRDefault="007A5D9C" w:rsidP="007A5D9C"/>
    <w:p w14:paraId="2B91A131" w14:textId="7378DE74" w:rsidR="0058324A" w:rsidRPr="001C1EBA" w:rsidRDefault="001C1EBA" w:rsidP="007A5D9C">
      <w:r w:rsidRPr="001C1EBA">
        <w:t xml:space="preserve">In onderstaande tabel wordt het groot materieel weergegeven door de jaren heen: </w:t>
      </w:r>
    </w:p>
    <w:p w14:paraId="43A00BFC" w14:textId="77777777" w:rsidR="001C1EBA" w:rsidRPr="001C1EBA" w:rsidRDefault="001C1EBA" w:rsidP="007A5D9C"/>
    <w:tbl>
      <w:tblPr>
        <w:tblStyle w:val="Tabelraster"/>
        <w:tblW w:w="0" w:type="auto"/>
        <w:tblLook w:val="04A0" w:firstRow="1" w:lastRow="0" w:firstColumn="1" w:lastColumn="0" w:noHBand="0" w:noVBand="1"/>
      </w:tblPr>
      <w:tblGrid>
        <w:gridCol w:w="2884"/>
        <w:gridCol w:w="1802"/>
        <w:gridCol w:w="1804"/>
        <w:gridCol w:w="1804"/>
      </w:tblGrid>
      <w:tr w:rsidR="008D434A" w:rsidRPr="001C1EBA" w14:paraId="79780D76" w14:textId="4F0AA5FB" w:rsidTr="208842ED">
        <w:trPr>
          <w:trHeight w:val="285"/>
        </w:trPr>
        <w:tc>
          <w:tcPr>
            <w:tcW w:w="2884" w:type="dxa"/>
          </w:tcPr>
          <w:p w14:paraId="4C74066F" w14:textId="16A09DB8" w:rsidR="008D434A" w:rsidRPr="001C1EBA" w:rsidRDefault="008D434A" w:rsidP="007A5D9C">
            <w:pPr>
              <w:rPr>
                <w:b/>
                <w:bCs/>
              </w:rPr>
            </w:pPr>
            <w:r w:rsidRPr="001C1EBA">
              <w:rPr>
                <w:b/>
                <w:bCs/>
              </w:rPr>
              <w:t>Machines Finovi BV</w:t>
            </w:r>
          </w:p>
        </w:tc>
        <w:tc>
          <w:tcPr>
            <w:tcW w:w="1802" w:type="dxa"/>
          </w:tcPr>
          <w:p w14:paraId="1A27A3DF" w14:textId="0548C3AE" w:rsidR="008D434A" w:rsidRPr="001C1EBA" w:rsidRDefault="008D434A" w:rsidP="007A5D9C">
            <w:pPr>
              <w:rPr>
                <w:b/>
                <w:bCs/>
              </w:rPr>
            </w:pPr>
            <w:r w:rsidRPr="001C1EBA">
              <w:rPr>
                <w:b/>
                <w:bCs/>
              </w:rPr>
              <w:t>2023</w:t>
            </w:r>
          </w:p>
        </w:tc>
        <w:tc>
          <w:tcPr>
            <w:tcW w:w="1804" w:type="dxa"/>
          </w:tcPr>
          <w:p w14:paraId="7DC669CA" w14:textId="76F44D95" w:rsidR="008D434A" w:rsidRPr="001C1EBA" w:rsidRDefault="008D434A" w:rsidP="007A5D9C">
            <w:pPr>
              <w:rPr>
                <w:b/>
                <w:bCs/>
              </w:rPr>
            </w:pPr>
            <w:r w:rsidRPr="001C1EBA">
              <w:rPr>
                <w:b/>
                <w:bCs/>
              </w:rPr>
              <w:t>2024</w:t>
            </w:r>
          </w:p>
        </w:tc>
        <w:tc>
          <w:tcPr>
            <w:tcW w:w="1804" w:type="dxa"/>
          </w:tcPr>
          <w:p w14:paraId="668E6A91" w14:textId="17C948DC" w:rsidR="008D434A" w:rsidRPr="001C1EBA" w:rsidRDefault="008D434A" w:rsidP="007A5D9C">
            <w:pPr>
              <w:rPr>
                <w:b/>
                <w:bCs/>
              </w:rPr>
            </w:pPr>
            <w:r w:rsidRPr="208842ED">
              <w:rPr>
                <w:b/>
                <w:bCs/>
              </w:rPr>
              <w:t>2025</w:t>
            </w:r>
          </w:p>
        </w:tc>
      </w:tr>
      <w:tr w:rsidR="008D434A" w:rsidRPr="001C1EBA" w14:paraId="611514CD" w14:textId="6EEBDF50" w:rsidTr="208842ED">
        <w:trPr>
          <w:trHeight w:val="285"/>
        </w:trPr>
        <w:tc>
          <w:tcPr>
            <w:tcW w:w="2884" w:type="dxa"/>
          </w:tcPr>
          <w:p w14:paraId="0DA955DE" w14:textId="6A5B9505" w:rsidR="008D434A" w:rsidRPr="001C1EBA" w:rsidRDefault="008D434A" w:rsidP="007A5D9C">
            <w:r w:rsidRPr="001C1EBA">
              <w:t>Shovel</w:t>
            </w:r>
          </w:p>
        </w:tc>
        <w:tc>
          <w:tcPr>
            <w:tcW w:w="1802" w:type="dxa"/>
          </w:tcPr>
          <w:p w14:paraId="344FCBA3" w14:textId="437AF5D1" w:rsidR="008D434A" w:rsidRPr="001C1EBA" w:rsidRDefault="008D434A" w:rsidP="007A5D9C">
            <w:r w:rsidRPr="001C1EBA">
              <w:t>2 (1 elektr.)</w:t>
            </w:r>
          </w:p>
        </w:tc>
        <w:tc>
          <w:tcPr>
            <w:tcW w:w="1804" w:type="dxa"/>
          </w:tcPr>
          <w:p w14:paraId="74440993" w14:textId="2A5955DC" w:rsidR="008D434A" w:rsidRPr="001C1EBA" w:rsidRDefault="008D434A" w:rsidP="007A5D9C">
            <w:r w:rsidRPr="001C1EBA">
              <w:t>2 (1 elektr.)</w:t>
            </w:r>
          </w:p>
        </w:tc>
        <w:tc>
          <w:tcPr>
            <w:tcW w:w="1804" w:type="dxa"/>
          </w:tcPr>
          <w:p w14:paraId="69E302CF" w14:textId="6DBE68AF" w:rsidR="008D434A" w:rsidRPr="001C1EBA" w:rsidRDefault="0C966007" w:rsidP="007A5D9C">
            <w:r>
              <w:t>2 (1 elektr.)</w:t>
            </w:r>
          </w:p>
        </w:tc>
      </w:tr>
      <w:tr w:rsidR="008D434A" w:rsidRPr="001C1EBA" w14:paraId="3F041454" w14:textId="06466DB8" w:rsidTr="208842ED">
        <w:trPr>
          <w:trHeight w:val="285"/>
        </w:trPr>
        <w:tc>
          <w:tcPr>
            <w:tcW w:w="2884" w:type="dxa"/>
          </w:tcPr>
          <w:p w14:paraId="00CBE35A" w14:textId="204D6C07" w:rsidR="008D434A" w:rsidRPr="001C1EBA" w:rsidRDefault="008D434A" w:rsidP="007A5D9C">
            <w:r w:rsidRPr="001C1EBA">
              <w:t>Minigraver</w:t>
            </w:r>
          </w:p>
        </w:tc>
        <w:tc>
          <w:tcPr>
            <w:tcW w:w="1802" w:type="dxa"/>
          </w:tcPr>
          <w:p w14:paraId="28DDB63C" w14:textId="5535FC3E" w:rsidR="008D434A" w:rsidRPr="001C1EBA" w:rsidRDefault="008D434A" w:rsidP="007A5D9C">
            <w:r w:rsidRPr="001C1EBA">
              <w:t>1</w:t>
            </w:r>
          </w:p>
        </w:tc>
        <w:tc>
          <w:tcPr>
            <w:tcW w:w="1804" w:type="dxa"/>
          </w:tcPr>
          <w:p w14:paraId="5CA4DAA9" w14:textId="131ABD1A" w:rsidR="008D434A" w:rsidRPr="001C1EBA" w:rsidRDefault="008D434A" w:rsidP="007A5D9C">
            <w:r w:rsidRPr="001C1EBA">
              <w:t>1</w:t>
            </w:r>
          </w:p>
        </w:tc>
        <w:tc>
          <w:tcPr>
            <w:tcW w:w="1804" w:type="dxa"/>
          </w:tcPr>
          <w:p w14:paraId="56EBCCF6" w14:textId="486BA892" w:rsidR="008D434A" w:rsidRPr="001C1EBA" w:rsidRDefault="017272BB" w:rsidP="007A5D9C">
            <w:r>
              <w:t>1</w:t>
            </w:r>
          </w:p>
        </w:tc>
      </w:tr>
      <w:tr w:rsidR="008D434A" w:rsidRPr="001C1EBA" w14:paraId="62788AB7" w14:textId="0FCDE687" w:rsidTr="208842ED">
        <w:trPr>
          <w:trHeight w:val="285"/>
        </w:trPr>
        <w:tc>
          <w:tcPr>
            <w:tcW w:w="2884" w:type="dxa"/>
          </w:tcPr>
          <w:p w14:paraId="1A8CA512" w14:textId="40334A47" w:rsidR="008D434A" w:rsidRPr="001C1EBA" w:rsidRDefault="008D434A" w:rsidP="007A5D9C">
            <w:r w:rsidRPr="001C1EBA">
              <w:t>Tractoren</w:t>
            </w:r>
          </w:p>
        </w:tc>
        <w:tc>
          <w:tcPr>
            <w:tcW w:w="1802" w:type="dxa"/>
          </w:tcPr>
          <w:p w14:paraId="20A5731D" w14:textId="231A48CB" w:rsidR="008D434A" w:rsidRPr="001C1EBA" w:rsidRDefault="008D434A" w:rsidP="007A5D9C">
            <w:r w:rsidRPr="001C1EBA">
              <w:t>6</w:t>
            </w:r>
          </w:p>
        </w:tc>
        <w:tc>
          <w:tcPr>
            <w:tcW w:w="1804" w:type="dxa"/>
          </w:tcPr>
          <w:p w14:paraId="063DF5A2" w14:textId="122C4477" w:rsidR="008D434A" w:rsidRPr="001C1EBA" w:rsidRDefault="008D434A" w:rsidP="007A5D9C">
            <w:r w:rsidRPr="001C1EBA">
              <w:t>7</w:t>
            </w:r>
          </w:p>
        </w:tc>
        <w:tc>
          <w:tcPr>
            <w:tcW w:w="1804" w:type="dxa"/>
          </w:tcPr>
          <w:p w14:paraId="6911813D" w14:textId="36B925D7" w:rsidR="008D434A" w:rsidRPr="001C1EBA" w:rsidRDefault="5789E194" w:rsidP="208842ED">
            <w:pPr>
              <w:spacing w:line="259" w:lineRule="auto"/>
            </w:pPr>
            <w:r>
              <w:t>7</w:t>
            </w:r>
          </w:p>
        </w:tc>
      </w:tr>
      <w:tr w:rsidR="008D434A" w:rsidRPr="001C1EBA" w14:paraId="63EA7C20" w14:textId="3A334EF9" w:rsidTr="208842ED">
        <w:trPr>
          <w:trHeight w:val="285"/>
        </w:trPr>
        <w:tc>
          <w:tcPr>
            <w:tcW w:w="2884" w:type="dxa"/>
          </w:tcPr>
          <w:p w14:paraId="456E7056" w14:textId="589E872E" w:rsidR="008D434A" w:rsidRPr="001C1EBA" w:rsidRDefault="008D434A" w:rsidP="007A5D9C">
            <w:r w:rsidRPr="001C1EBA">
              <w:t>Zandstrooier</w:t>
            </w:r>
          </w:p>
        </w:tc>
        <w:tc>
          <w:tcPr>
            <w:tcW w:w="1802" w:type="dxa"/>
          </w:tcPr>
          <w:p w14:paraId="38D875A0" w14:textId="54B4C7AD" w:rsidR="008D434A" w:rsidRPr="001C1EBA" w:rsidRDefault="008D434A" w:rsidP="007A5D9C">
            <w:r w:rsidRPr="001C1EBA">
              <w:t>1</w:t>
            </w:r>
          </w:p>
        </w:tc>
        <w:tc>
          <w:tcPr>
            <w:tcW w:w="1804" w:type="dxa"/>
          </w:tcPr>
          <w:p w14:paraId="6325418E" w14:textId="0A91F674" w:rsidR="008D434A" w:rsidRPr="001C1EBA" w:rsidRDefault="008D434A" w:rsidP="007A5D9C">
            <w:r w:rsidRPr="001C1EBA">
              <w:t>Buiten gebr.</w:t>
            </w:r>
          </w:p>
        </w:tc>
        <w:tc>
          <w:tcPr>
            <w:tcW w:w="1804" w:type="dxa"/>
          </w:tcPr>
          <w:p w14:paraId="5D697A86" w14:textId="41137147" w:rsidR="008D434A" w:rsidRPr="001C1EBA" w:rsidRDefault="1F39263F" w:rsidP="007A5D9C">
            <w:r>
              <w:t>Buiten gebr.</w:t>
            </w:r>
          </w:p>
        </w:tc>
      </w:tr>
      <w:tr w:rsidR="008D434A" w:rsidRPr="001C1EBA" w14:paraId="1ADC6B96" w14:textId="6627FD78" w:rsidTr="208842ED">
        <w:trPr>
          <w:trHeight w:val="285"/>
        </w:trPr>
        <w:tc>
          <w:tcPr>
            <w:tcW w:w="2884" w:type="dxa"/>
          </w:tcPr>
          <w:p w14:paraId="35A8B7E9" w14:textId="77777777" w:rsidR="008D434A" w:rsidRPr="001C1EBA" w:rsidRDefault="008D434A" w:rsidP="007A5D9C"/>
        </w:tc>
        <w:tc>
          <w:tcPr>
            <w:tcW w:w="1802" w:type="dxa"/>
          </w:tcPr>
          <w:p w14:paraId="24A428C8" w14:textId="77777777" w:rsidR="008D434A" w:rsidRPr="001C1EBA" w:rsidRDefault="008D434A" w:rsidP="007A5D9C"/>
        </w:tc>
        <w:tc>
          <w:tcPr>
            <w:tcW w:w="1804" w:type="dxa"/>
          </w:tcPr>
          <w:p w14:paraId="48BD50E7" w14:textId="77777777" w:rsidR="008D434A" w:rsidRPr="001C1EBA" w:rsidRDefault="008D434A" w:rsidP="007A5D9C"/>
        </w:tc>
        <w:tc>
          <w:tcPr>
            <w:tcW w:w="1804" w:type="dxa"/>
          </w:tcPr>
          <w:p w14:paraId="2733D955" w14:textId="77777777" w:rsidR="008D434A" w:rsidRPr="001C1EBA" w:rsidRDefault="008D434A" w:rsidP="007A5D9C"/>
        </w:tc>
      </w:tr>
      <w:tr w:rsidR="008D434A" w:rsidRPr="001C1EBA" w14:paraId="4F90DBBF" w14:textId="50782490" w:rsidTr="208842ED">
        <w:trPr>
          <w:trHeight w:val="285"/>
        </w:trPr>
        <w:tc>
          <w:tcPr>
            <w:tcW w:w="2884" w:type="dxa"/>
          </w:tcPr>
          <w:p w14:paraId="7212BAC5" w14:textId="4FA343A7" w:rsidR="008D434A" w:rsidRPr="001C1EBA" w:rsidRDefault="008D434A" w:rsidP="007A5D9C">
            <w:pPr>
              <w:rPr>
                <w:b/>
                <w:bCs/>
              </w:rPr>
            </w:pPr>
            <w:r w:rsidRPr="001C1EBA">
              <w:rPr>
                <w:b/>
                <w:bCs/>
              </w:rPr>
              <w:t>Klein materieel</w:t>
            </w:r>
          </w:p>
        </w:tc>
        <w:tc>
          <w:tcPr>
            <w:tcW w:w="1802" w:type="dxa"/>
          </w:tcPr>
          <w:p w14:paraId="5393FCF2" w14:textId="1616AC59" w:rsidR="008D434A" w:rsidRPr="001C1EBA" w:rsidRDefault="008D434A" w:rsidP="007A5D9C">
            <w:pPr>
              <w:rPr>
                <w:b/>
                <w:bCs/>
              </w:rPr>
            </w:pPr>
            <w:r w:rsidRPr="001C1EBA">
              <w:rPr>
                <w:b/>
                <w:bCs/>
              </w:rPr>
              <w:t>2023</w:t>
            </w:r>
          </w:p>
        </w:tc>
        <w:tc>
          <w:tcPr>
            <w:tcW w:w="1804" w:type="dxa"/>
          </w:tcPr>
          <w:p w14:paraId="6F5BA09C" w14:textId="7302844A" w:rsidR="008D434A" w:rsidRPr="001C1EBA" w:rsidRDefault="008D434A" w:rsidP="007A5D9C">
            <w:pPr>
              <w:rPr>
                <w:b/>
                <w:bCs/>
              </w:rPr>
            </w:pPr>
            <w:r w:rsidRPr="001C1EBA">
              <w:rPr>
                <w:b/>
                <w:bCs/>
              </w:rPr>
              <w:t>2024</w:t>
            </w:r>
          </w:p>
        </w:tc>
        <w:tc>
          <w:tcPr>
            <w:tcW w:w="1804" w:type="dxa"/>
          </w:tcPr>
          <w:p w14:paraId="2C1F75CA" w14:textId="6AA2F413" w:rsidR="008D434A" w:rsidRPr="001C1EBA" w:rsidRDefault="589508ED" w:rsidP="007A5D9C">
            <w:r w:rsidRPr="6B45FEBD">
              <w:rPr>
                <w:b/>
                <w:bCs/>
              </w:rPr>
              <w:t>2025</w:t>
            </w:r>
          </w:p>
        </w:tc>
      </w:tr>
      <w:tr w:rsidR="008D434A" w:rsidRPr="001C1EBA" w14:paraId="029239A5" w14:textId="4A6E8CE8" w:rsidTr="208842ED">
        <w:trPr>
          <w:trHeight w:val="285"/>
        </w:trPr>
        <w:tc>
          <w:tcPr>
            <w:tcW w:w="2884" w:type="dxa"/>
          </w:tcPr>
          <w:p w14:paraId="029082E3" w14:textId="10E3F38A" w:rsidR="008D434A" w:rsidRPr="001C1EBA" w:rsidRDefault="008D434A" w:rsidP="007A5D9C">
            <w:r w:rsidRPr="001C1EBA">
              <w:t>Bosmaaier</w:t>
            </w:r>
          </w:p>
        </w:tc>
        <w:tc>
          <w:tcPr>
            <w:tcW w:w="1802" w:type="dxa"/>
          </w:tcPr>
          <w:p w14:paraId="7CF9ED84" w14:textId="1519CF3D" w:rsidR="008D434A" w:rsidRPr="001C1EBA" w:rsidRDefault="008D434A" w:rsidP="007A5D9C">
            <w:r w:rsidRPr="001C1EBA">
              <w:t>X</w:t>
            </w:r>
          </w:p>
        </w:tc>
        <w:tc>
          <w:tcPr>
            <w:tcW w:w="1804" w:type="dxa"/>
          </w:tcPr>
          <w:p w14:paraId="1B19E3DC" w14:textId="79AB0446" w:rsidR="008D434A" w:rsidRPr="001C1EBA" w:rsidRDefault="008D434A" w:rsidP="007A5D9C">
            <w:r w:rsidRPr="001C1EBA">
              <w:t>X</w:t>
            </w:r>
          </w:p>
        </w:tc>
        <w:tc>
          <w:tcPr>
            <w:tcW w:w="1804" w:type="dxa"/>
          </w:tcPr>
          <w:p w14:paraId="0E2071A8" w14:textId="12C6E95F" w:rsidR="008D434A" w:rsidRPr="001C1EBA" w:rsidRDefault="606FB8F3" w:rsidP="007A5D9C">
            <w:r>
              <w:t>X</w:t>
            </w:r>
          </w:p>
        </w:tc>
      </w:tr>
      <w:tr w:rsidR="008D434A" w:rsidRPr="001C1EBA" w14:paraId="5F5D9DF2" w14:textId="23156F4C" w:rsidTr="208842ED">
        <w:trPr>
          <w:trHeight w:val="305"/>
        </w:trPr>
        <w:tc>
          <w:tcPr>
            <w:tcW w:w="2884" w:type="dxa"/>
          </w:tcPr>
          <w:p w14:paraId="107B011A" w14:textId="7B171A5F" w:rsidR="008D434A" w:rsidRPr="001C1EBA" w:rsidRDefault="008D434A" w:rsidP="007A5D9C">
            <w:r w:rsidRPr="001C1EBA">
              <w:t>Bandenzaag</w:t>
            </w:r>
          </w:p>
        </w:tc>
        <w:tc>
          <w:tcPr>
            <w:tcW w:w="1802" w:type="dxa"/>
          </w:tcPr>
          <w:p w14:paraId="59E60F52" w14:textId="4C47DAB2" w:rsidR="008D434A" w:rsidRPr="001C1EBA" w:rsidRDefault="008D434A" w:rsidP="007A5D9C">
            <w:r w:rsidRPr="001C1EBA">
              <w:t>X</w:t>
            </w:r>
          </w:p>
        </w:tc>
        <w:tc>
          <w:tcPr>
            <w:tcW w:w="1804" w:type="dxa"/>
          </w:tcPr>
          <w:p w14:paraId="69E6A490" w14:textId="692BFB70" w:rsidR="008D434A" w:rsidRPr="001C1EBA" w:rsidRDefault="008D434A" w:rsidP="007A5D9C">
            <w:r w:rsidRPr="001C1EBA">
              <w:t>X</w:t>
            </w:r>
          </w:p>
        </w:tc>
        <w:tc>
          <w:tcPr>
            <w:tcW w:w="1804" w:type="dxa"/>
          </w:tcPr>
          <w:p w14:paraId="085B6A63" w14:textId="628BB4E1" w:rsidR="008D434A" w:rsidRPr="001C1EBA" w:rsidRDefault="57AACF76" w:rsidP="007A5D9C">
            <w:r>
              <w:t>X</w:t>
            </w:r>
          </w:p>
        </w:tc>
      </w:tr>
      <w:tr w:rsidR="008D434A" w:rsidRPr="001C1EBA" w14:paraId="3368D0A7" w14:textId="702ABED7" w:rsidTr="208842ED">
        <w:trPr>
          <w:trHeight w:val="285"/>
        </w:trPr>
        <w:tc>
          <w:tcPr>
            <w:tcW w:w="2884" w:type="dxa"/>
          </w:tcPr>
          <w:p w14:paraId="2462B018" w14:textId="56D26468" w:rsidR="008D434A" w:rsidRPr="001C1EBA" w:rsidRDefault="008D434A" w:rsidP="007A5D9C">
            <w:r w:rsidRPr="001C1EBA">
              <w:t>Trilplaat</w:t>
            </w:r>
          </w:p>
        </w:tc>
        <w:tc>
          <w:tcPr>
            <w:tcW w:w="1802" w:type="dxa"/>
          </w:tcPr>
          <w:p w14:paraId="790A452F" w14:textId="36FFC703" w:rsidR="008D434A" w:rsidRPr="001C1EBA" w:rsidRDefault="008D434A" w:rsidP="007A5D9C">
            <w:r w:rsidRPr="001C1EBA">
              <w:t>X</w:t>
            </w:r>
          </w:p>
        </w:tc>
        <w:tc>
          <w:tcPr>
            <w:tcW w:w="1804" w:type="dxa"/>
          </w:tcPr>
          <w:p w14:paraId="1A0D0C52" w14:textId="30F7FDF8" w:rsidR="008D434A" w:rsidRPr="001C1EBA" w:rsidRDefault="008D434A" w:rsidP="007A5D9C">
            <w:r w:rsidRPr="001C1EBA">
              <w:t>X</w:t>
            </w:r>
          </w:p>
        </w:tc>
        <w:tc>
          <w:tcPr>
            <w:tcW w:w="1804" w:type="dxa"/>
          </w:tcPr>
          <w:p w14:paraId="32E82223" w14:textId="7BEEA71E" w:rsidR="008D434A" w:rsidRPr="001C1EBA" w:rsidRDefault="55C0C067" w:rsidP="007A5D9C">
            <w:r>
              <w:t>X</w:t>
            </w:r>
          </w:p>
        </w:tc>
      </w:tr>
      <w:tr w:rsidR="008D434A" w:rsidRPr="001C1EBA" w14:paraId="5F6D8AD7" w14:textId="6AB1C8CB" w:rsidTr="208842ED">
        <w:trPr>
          <w:trHeight w:val="285"/>
        </w:trPr>
        <w:tc>
          <w:tcPr>
            <w:tcW w:w="2884" w:type="dxa"/>
          </w:tcPr>
          <w:p w14:paraId="3529A6FF" w14:textId="6F747E35" w:rsidR="008D434A" w:rsidRPr="001C1EBA" w:rsidRDefault="008D434A" w:rsidP="007A5D9C">
            <w:r w:rsidRPr="001C1EBA">
              <w:t>Boormachine</w:t>
            </w:r>
          </w:p>
        </w:tc>
        <w:tc>
          <w:tcPr>
            <w:tcW w:w="1802" w:type="dxa"/>
          </w:tcPr>
          <w:p w14:paraId="19F85530" w14:textId="309D88EB" w:rsidR="008D434A" w:rsidRPr="001C1EBA" w:rsidRDefault="008D434A" w:rsidP="007A5D9C">
            <w:r w:rsidRPr="001C1EBA">
              <w:t>X</w:t>
            </w:r>
          </w:p>
        </w:tc>
        <w:tc>
          <w:tcPr>
            <w:tcW w:w="1804" w:type="dxa"/>
          </w:tcPr>
          <w:p w14:paraId="66E8D007" w14:textId="71030205" w:rsidR="008D434A" w:rsidRPr="001C1EBA" w:rsidRDefault="008D434A" w:rsidP="007A5D9C">
            <w:r w:rsidRPr="001C1EBA">
              <w:t>X</w:t>
            </w:r>
          </w:p>
        </w:tc>
        <w:tc>
          <w:tcPr>
            <w:tcW w:w="1804" w:type="dxa"/>
          </w:tcPr>
          <w:p w14:paraId="4170F3A8" w14:textId="0A5429E0" w:rsidR="008D434A" w:rsidRPr="001C1EBA" w:rsidRDefault="55C0C067" w:rsidP="007A5D9C">
            <w:r>
              <w:t>X</w:t>
            </w:r>
          </w:p>
        </w:tc>
      </w:tr>
      <w:tr w:rsidR="008D434A" w:rsidRPr="001C1EBA" w14:paraId="60A401D7" w14:textId="3CC66FF4" w:rsidTr="208842ED">
        <w:trPr>
          <w:trHeight w:val="267"/>
        </w:trPr>
        <w:tc>
          <w:tcPr>
            <w:tcW w:w="2884" w:type="dxa"/>
          </w:tcPr>
          <w:p w14:paraId="0E904508" w14:textId="6D9A3286" w:rsidR="008D434A" w:rsidRPr="001C1EBA" w:rsidRDefault="008D434A" w:rsidP="007A5D9C">
            <w:r w:rsidRPr="001C1EBA">
              <w:t>Overig</w:t>
            </w:r>
          </w:p>
        </w:tc>
        <w:tc>
          <w:tcPr>
            <w:tcW w:w="1802" w:type="dxa"/>
          </w:tcPr>
          <w:p w14:paraId="4FB503AB" w14:textId="14C118F5" w:rsidR="008D434A" w:rsidRPr="001C1EBA" w:rsidRDefault="008D434A" w:rsidP="007A5D9C">
            <w:r w:rsidRPr="001C1EBA">
              <w:t>X</w:t>
            </w:r>
          </w:p>
        </w:tc>
        <w:tc>
          <w:tcPr>
            <w:tcW w:w="1804" w:type="dxa"/>
          </w:tcPr>
          <w:p w14:paraId="6E5AA710" w14:textId="7725D453" w:rsidR="008D434A" w:rsidRPr="001C1EBA" w:rsidRDefault="008D434A" w:rsidP="007A5D9C">
            <w:r w:rsidRPr="001C1EBA">
              <w:t>X</w:t>
            </w:r>
          </w:p>
        </w:tc>
        <w:tc>
          <w:tcPr>
            <w:tcW w:w="1804" w:type="dxa"/>
          </w:tcPr>
          <w:p w14:paraId="23C1C50D" w14:textId="5333B2CB" w:rsidR="008D434A" w:rsidRPr="001C1EBA" w:rsidRDefault="5AD5A2FE" w:rsidP="007A5D9C">
            <w:r>
              <w:t>X</w:t>
            </w:r>
          </w:p>
        </w:tc>
      </w:tr>
    </w:tbl>
    <w:p w14:paraId="1134B5B6" w14:textId="77777777" w:rsidR="00141116" w:rsidRPr="001C1EBA" w:rsidRDefault="00141116" w:rsidP="007A5D9C"/>
    <w:p w14:paraId="4C00E606" w14:textId="441938D9" w:rsidR="00D73FF1" w:rsidRPr="001C1EBA" w:rsidRDefault="00D73FF1" w:rsidP="007A5D9C">
      <w:r w:rsidRPr="001C1EBA">
        <w:t>Bovengenoemd overzicht verwijst naar onderstaande machines:</w:t>
      </w:r>
      <w:r w:rsidR="008D434A" w:rsidRPr="001C1EBA">
        <w:t xml:space="preserve"> </w:t>
      </w:r>
    </w:p>
    <w:tbl>
      <w:tblPr>
        <w:tblStyle w:val="Tabelraster"/>
        <w:tblW w:w="0" w:type="auto"/>
        <w:tblLook w:val="04A0" w:firstRow="1" w:lastRow="0" w:firstColumn="1" w:lastColumn="0" w:noHBand="0" w:noVBand="1"/>
      </w:tblPr>
      <w:tblGrid>
        <w:gridCol w:w="2884"/>
        <w:gridCol w:w="2214"/>
        <w:gridCol w:w="2127"/>
      </w:tblGrid>
      <w:tr w:rsidR="001C1EBA" w:rsidRPr="001C1EBA" w14:paraId="1995CA88" w14:textId="77777777" w:rsidTr="208842ED">
        <w:trPr>
          <w:trHeight w:val="285"/>
        </w:trPr>
        <w:tc>
          <w:tcPr>
            <w:tcW w:w="2884" w:type="dxa"/>
          </w:tcPr>
          <w:p w14:paraId="03A811BC" w14:textId="150C5519" w:rsidR="00577A6C" w:rsidRPr="001C1EBA" w:rsidRDefault="00577A6C" w:rsidP="00761E1E">
            <w:pPr>
              <w:rPr>
                <w:b/>
                <w:bCs/>
              </w:rPr>
            </w:pPr>
            <w:r w:rsidRPr="001C1EBA">
              <w:rPr>
                <w:b/>
                <w:bCs/>
              </w:rPr>
              <w:t>Machine</w:t>
            </w:r>
          </w:p>
        </w:tc>
        <w:tc>
          <w:tcPr>
            <w:tcW w:w="2214" w:type="dxa"/>
          </w:tcPr>
          <w:p w14:paraId="61BCFD8F" w14:textId="6E001D6A" w:rsidR="00577A6C" w:rsidRPr="001C1EBA" w:rsidRDefault="00577A6C" w:rsidP="00761E1E">
            <w:pPr>
              <w:rPr>
                <w:b/>
                <w:bCs/>
              </w:rPr>
            </w:pPr>
            <w:r w:rsidRPr="001C1EBA">
              <w:rPr>
                <w:b/>
                <w:bCs/>
              </w:rPr>
              <w:t>Type</w:t>
            </w:r>
          </w:p>
        </w:tc>
        <w:tc>
          <w:tcPr>
            <w:tcW w:w="2127" w:type="dxa"/>
          </w:tcPr>
          <w:p w14:paraId="2A5853DB" w14:textId="56AC92D5" w:rsidR="00577A6C" w:rsidRPr="001C1EBA" w:rsidRDefault="00577A6C" w:rsidP="00761E1E">
            <w:pPr>
              <w:rPr>
                <w:b/>
                <w:bCs/>
              </w:rPr>
            </w:pPr>
            <w:r w:rsidRPr="001C1EBA">
              <w:rPr>
                <w:b/>
                <w:bCs/>
              </w:rPr>
              <w:t>Brandstof</w:t>
            </w:r>
          </w:p>
        </w:tc>
      </w:tr>
      <w:tr w:rsidR="001C1EBA" w:rsidRPr="001C1EBA" w14:paraId="2313C83B" w14:textId="77777777" w:rsidTr="208842ED">
        <w:trPr>
          <w:trHeight w:val="285"/>
        </w:trPr>
        <w:tc>
          <w:tcPr>
            <w:tcW w:w="2884" w:type="dxa"/>
          </w:tcPr>
          <w:p w14:paraId="2287924F" w14:textId="0387B210" w:rsidR="00577A6C" w:rsidRPr="001C1EBA" w:rsidRDefault="00CA4596" w:rsidP="00761E1E">
            <w:r w:rsidRPr="001C1EBA">
              <w:t>Shovel</w:t>
            </w:r>
          </w:p>
        </w:tc>
        <w:tc>
          <w:tcPr>
            <w:tcW w:w="2214" w:type="dxa"/>
          </w:tcPr>
          <w:p w14:paraId="2BEAA425" w14:textId="77777777" w:rsidR="00577A6C" w:rsidRPr="001C1EBA" w:rsidRDefault="003B1E7C" w:rsidP="00761E1E">
            <w:pPr>
              <w:rPr>
                <w:lang w:val="fr-FR"/>
              </w:rPr>
            </w:pPr>
            <w:r w:rsidRPr="001C1EBA">
              <w:rPr>
                <w:lang w:val="fr-FR"/>
              </w:rPr>
              <w:t>Giant 452 T X-tra HD</w:t>
            </w:r>
          </w:p>
          <w:p w14:paraId="46049E71" w14:textId="540AB78F" w:rsidR="003B1E7C" w:rsidRPr="001C1EBA" w:rsidRDefault="007232ED" w:rsidP="00761E1E">
            <w:pPr>
              <w:rPr>
                <w:lang w:val="fr-FR"/>
              </w:rPr>
            </w:pPr>
            <w:r w:rsidRPr="001C1EBA">
              <w:rPr>
                <w:lang w:val="fr-FR"/>
              </w:rPr>
              <w:t>TBR-95-T</w:t>
            </w:r>
          </w:p>
        </w:tc>
        <w:tc>
          <w:tcPr>
            <w:tcW w:w="2127" w:type="dxa"/>
          </w:tcPr>
          <w:p w14:paraId="3A3F224D" w14:textId="42F4CCB8" w:rsidR="00577A6C" w:rsidRPr="001C1EBA" w:rsidRDefault="003B1E7C" w:rsidP="00761E1E">
            <w:r w:rsidRPr="001C1EBA">
              <w:t>Diesel</w:t>
            </w:r>
          </w:p>
        </w:tc>
      </w:tr>
      <w:tr w:rsidR="001C1EBA" w:rsidRPr="001C1EBA" w14:paraId="7025E5CD" w14:textId="77777777" w:rsidTr="208842ED">
        <w:trPr>
          <w:trHeight w:val="285"/>
        </w:trPr>
        <w:tc>
          <w:tcPr>
            <w:tcW w:w="2884" w:type="dxa"/>
          </w:tcPr>
          <w:p w14:paraId="48F53442" w14:textId="5EACA3C1" w:rsidR="00577A6C" w:rsidRPr="001C1EBA" w:rsidRDefault="00936572" w:rsidP="00761E1E">
            <w:r w:rsidRPr="001C1EBA">
              <w:t>Shovel</w:t>
            </w:r>
          </w:p>
        </w:tc>
        <w:tc>
          <w:tcPr>
            <w:tcW w:w="2214" w:type="dxa"/>
          </w:tcPr>
          <w:p w14:paraId="2D9E14CC" w14:textId="77777777" w:rsidR="00577A6C" w:rsidRPr="001C1EBA" w:rsidRDefault="00546E41" w:rsidP="00761E1E">
            <w:pPr>
              <w:rPr>
                <w:lang w:val="it-IT"/>
              </w:rPr>
            </w:pPr>
            <w:r w:rsidRPr="001C1EBA">
              <w:rPr>
                <w:lang w:val="it-IT"/>
              </w:rPr>
              <w:t>Giant G220 X-tra</w:t>
            </w:r>
          </w:p>
          <w:p w14:paraId="01E2A3FE" w14:textId="38D4625A" w:rsidR="00546E41" w:rsidRPr="001C1EBA" w:rsidRDefault="00546E41" w:rsidP="00761E1E">
            <w:pPr>
              <w:rPr>
                <w:lang w:val="it-IT"/>
              </w:rPr>
            </w:pPr>
            <w:r w:rsidRPr="001C1EBA">
              <w:rPr>
                <w:lang w:val="it-IT"/>
              </w:rPr>
              <w:t>T-25-FJH</w:t>
            </w:r>
          </w:p>
        </w:tc>
        <w:tc>
          <w:tcPr>
            <w:tcW w:w="2127" w:type="dxa"/>
          </w:tcPr>
          <w:p w14:paraId="6EB9FCD8" w14:textId="29752FF1" w:rsidR="00577A6C" w:rsidRPr="001C1EBA" w:rsidRDefault="00043A41" w:rsidP="00761E1E">
            <w:r w:rsidRPr="001C1EBA">
              <w:t>Elektrisch</w:t>
            </w:r>
          </w:p>
        </w:tc>
      </w:tr>
      <w:tr w:rsidR="001C1EBA" w:rsidRPr="001C1EBA" w14:paraId="73773258" w14:textId="77777777" w:rsidTr="208842ED">
        <w:trPr>
          <w:trHeight w:val="285"/>
        </w:trPr>
        <w:tc>
          <w:tcPr>
            <w:tcW w:w="2884" w:type="dxa"/>
          </w:tcPr>
          <w:p w14:paraId="78EDD9A3" w14:textId="6A735993" w:rsidR="00577A6C" w:rsidRPr="001C1EBA" w:rsidRDefault="00936572" w:rsidP="00761E1E">
            <w:r w:rsidRPr="001C1EBA">
              <w:t>Tractor</w:t>
            </w:r>
          </w:p>
        </w:tc>
        <w:tc>
          <w:tcPr>
            <w:tcW w:w="2214" w:type="dxa"/>
          </w:tcPr>
          <w:p w14:paraId="4985080C" w14:textId="77777777" w:rsidR="00577A6C" w:rsidRPr="001C1EBA" w:rsidRDefault="00936572" w:rsidP="00761E1E">
            <w:proofErr w:type="spellStart"/>
            <w:r w:rsidRPr="001C1EBA">
              <w:t>Kubota</w:t>
            </w:r>
            <w:proofErr w:type="spellEnd"/>
            <w:r w:rsidRPr="001C1EBA">
              <w:t xml:space="preserve"> Tractor</w:t>
            </w:r>
          </w:p>
          <w:p w14:paraId="57C33F45" w14:textId="18F9B985" w:rsidR="003B1E7C" w:rsidRPr="001C1EBA" w:rsidRDefault="003B1E7C" w:rsidP="00761E1E">
            <w:r w:rsidRPr="001C1EBA">
              <w:t>TBV-76-F</w:t>
            </w:r>
          </w:p>
        </w:tc>
        <w:tc>
          <w:tcPr>
            <w:tcW w:w="2127" w:type="dxa"/>
          </w:tcPr>
          <w:p w14:paraId="785F1A0C" w14:textId="6BD85F73" w:rsidR="00577A6C" w:rsidRPr="001C1EBA" w:rsidRDefault="003B1E7C" w:rsidP="00761E1E">
            <w:r w:rsidRPr="001C1EBA">
              <w:t>Diesel</w:t>
            </w:r>
          </w:p>
        </w:tc>
      </w:tr>
      <w:tr w:rsidR="001C1EBA" w:rsidRPr="001C1EBA" w14:paraId="2EB79B02" w14:textId="77777777" w:rsidTr="208842ED">
        <w:trPr>
          <w:trHeight w:val="285"/>
        </w:trPr>
        <w:tc>
          <w:tcPr>
            <w:tcW w:w="2884" w:type="dxa"/>
          </w:tcPr>
          <w:p w14:paraId="3ED36111" w14:textId="7E7BC3BE" w:rsidR="00577A6C" w:rsidRPr="001C1EBA" w:rsidRDefault="00936572" w:rsidP="00761E1E">
            <w:r w:rsidRPr="001C1EBA">
              <w:t>Tractor</w:t>
            </w:r>
          </w:p>
        </w:tc>
        <w:tc>
          <w:tcPr>
            <w:tcW w:w="2214" w:type="dxa"/>
          </w:tcPr>
          <w:p w14:paraId="11AC74FE" w14:textId="77777777" w:rsidR="00577A6C" w:rsidRPr="001C1EBA" w:rsidRDefault="001F5F2C" w:rsidP="00761E1E">
            <w:pPr>
              <w:rPr>
                <w:lang w:val="de-DE"/>
              </w:rPr>
            </w:pPr>
            <w:r w:rsidRPr="001C1EBA">
              <w:rPr>
                <w:lang w:val="de-DE"/>
              </w:rPr>
              <w:t>John Deere 3038E</w:t>
            </w:r>
          </w:p>
          <w:p w14:paraId="4E3F8FD5" w14:textId="063D7591" w:rsidR="001F5F2C" w:rsidRPr="001C1EBA" w:rsidRDefault="001F5F2C" w:rsidP="00761E1E">
            <w:pPr>
              <w:rPr>
                <w:lang w:val="de-DE"/>
              </w:rPr>
            </w:pPr>
            <w:r w:rsidRPr="001C1EBA">
              <w:rPr>
                <w:lang w:val="de-DE"/>
              </w:rPr>
              <w:t>TBN-32-V</w:t>
            </w:r>
          </w:p>
        </w:tc>
        <w:tc>
          <w:tcPr>
            <w:tcW w:w="2127" w:type="dxa"/>
          </w:tcPr>
          <w:p w14:paraId="777DC33B" w14:textId="3DD5D712" w:rsidR="00577A6C" w:rsidRPr="001C1EBA" w:rsidRDefault="001F5F2C" w:rsidP="00761E1E">
            <w:r w:rsidRPr="001C1EBA">
              <w:t>Diesel</w:t>
            </w:r>
          </w:p>
        </w:tc>
      </w:tr>
      <w:tr w:rsidR="001C1EBA" w:rsidRPr="001C1EBA" w14:paraId="541D5C4C" w14:textId="77777777" w:rsidTr="208842ED">
        <w:trPr>
          <w:trHeight w:val="285"/>
        </w:trPr>
        <w:tc>
          <w:tcPr>
            <w:tcW w:w="2884" w:type="dxa"/>
          </w:tcPr>
          <w:p w14:paraId="54C256D8" w14:textId="2DEB9258" w:rsidR="00577A6C" w:rsidRPr="001C1EBA" w:rsidRDefault="00936572" w:rsidP="00761E1E">
            <w:r w:rsidRPr="001C1EBA">
              <w:t>Tractor</w:t>
            </w:r>
          </w:p>
        </w:tc>
        <w:tc>
          <w:tcPr>
            <w:tcW w:w="2214" w:type="dxa"/>
          </w:tcPr>
          <w:p w14:paraId="20845212" w14:textId="77777777" w:rsidR="00577A6C" w:rsidRPr="001C1EBA" w:rsidRDefault="001F5F2C" w:rsidP="00761E1E">
            <w:pPr>
              <w:rPr>
                <w:lang w:val="en-US"/>
              </w:rPr>
            </w:pPr>
            <w:r w:rsidRPr="001C1EBA">
              <w:rPr>
                <w:lang w:val="en-US"/>
              </w:rPr>
              <w:t>John Deere 3045R</w:t>
            </w:r>
          </w:p>
          <w:p w14:paraId="3E8A825F" w14:textId="08FCC2CC" w:rsidR="001F5F2C" w:rsidRPr="001C1EBA" w:rsidRDefault="00CB5121" w:rsidP="00761E1E">
            <w:pPr>
              <w:rPr>
                <w:lang w:val="en-US"/>
              </w:rPr>
            </w:pPr>
            <w:r w:rsidRPr="001C1EBA">
              <w:rPr>
                <w:lang w:val="en-US"/>
              </w:rPr>
              <w:t>TBN-45-S</w:t>
            </w:r>
          </w:p>
        </w:tc>
        <w:tc>
          <w:tcPr>
            <w:tcW w:w="2127" w:type="dxa"/>
          </w:tcPr>
          <w:p w14:paraId="62B8518C" w14:textId="6F065B13" w:rsidR="00577A6C" w:rsidRPr="001C1EBA" w:rsidRDefault="00CB5121" w:rsidP="00761E1E">
            <w:r w:rsidRPr="001C1EBA">
              <w:t>Diesel</w:t>
            </w:r>
          </w:p>
        </w:tc>
      </w:tr>
      <w:tr w:rsidR="001C1EBA" w:rsidRPr="001C1EBA" w14:paraId="1A909ED5" w14:textId="77777777" w:rsidTr="208842ED">
        <w:trPr>
          <w:trHeight w:val="285"/>
        </w:trPr>
        <w:tc>
          <w:tcPr>
            <w:tcW w:w="2884" w:type="dxa"/>
          </w:tcPr>
          <w:p w14:paraId="056AB3CB" w14:textId="06342B2C" w:rsidR="00577A6C" w:rsidRPr="001C1EBA" w:rsidRDefault="00936572" w:rsidP="00761E1E">
            <w:r w:rsidRPr="001C1EBA">
              <w:lastRenderedPageBreak/>
              <w:t>Tractor</w:t>
            </w:r>
          </w:p>
        </w:tc>
        <w:tc>
          <w:tcPr>
            <w:tcW w:w="2214" w:type="dxa"/>
          </w:tcPr>
          <w:p w14:paraId="6980209A" w14:textId="3F5BA618" w:rsidR="00577A6C" w:rsidRPr="001C1EBA" w:rsidRDefault="00CB5121" w:rsidP="00761E1E">
            <w:r w:rsidRPr="001C1EBA">
              <w:t>John Deere 3520</w:t>
            </w:r>
          </w:p>
        </w:tc>
        <w:tc>
          <w:tcPr>
            <w:tcW w:w="2127" w:type="dxa"/>
          </w:tcPr>
          <w:p w14:paraId="736F9413" w14:textId="046800A7" w:rsidR="00577A6C" w:rsidRPr="001C1EBA" w:rsidRDefault="00CB5121" w:rsidP="00761E1E">
            <w:r w:rsidRPr="001C1EBA">
              <w:t>Diesel</w:t>
            </w:r>
          </w:p>
        </w:tc>
      </w:tr>
      <w:tr w:rsidR="001C1EBA" w:rsidRPr="001C1EBA" w14:paraId="578668A2" w14:textId="77777777" w:rsidTr="208842ED">
        <w:trPr>
          <w:trHeight w:val="285"/>
        </w:trPr>
        <w:tc>
          <w:tcPr>
            <w:tcW w:w="2884" w:type="dxa"/>
          </w:tcPr>
          <w:p w14:paraId="392A03A8" w14:textId="5A7881A4" w:rsidR="00577A6C" w:rsidRPr="001C1EBA" w:rsidRDefault="00936572" w:rsidP="00761E1E">
            <w:r w:rsidRPr="001C1EBA">
              <w:t>Tractor</w:t>
            </w:r>
          </w:p>
        </w:tc>
        <w:tc>
          <w:tcPr>
            <w:tcW w:w="2214" w:type="dxa"/>
          </w:tcPr>
          <w:p w14:paraId="2A2F4D73" w14:textId="77777777" w:rsidR="00577A6C" w:rsidRPr="001C1EBA" w:rsidRDefault="00FB1175" w:rsidP="00761E1E">
            <w:pPr>
              <w:rPr>
                <w:lang w:val="en-US"/>
              </w:rPr>
            </w:pPr>
            <w:r w:rsidRPr="001C1EBA">
              <w:rPr>
                <w:lang w:val="en-US"/>
              </w:rPr>
              <w:t>John Deere tractor</w:t>
            </w:r>
          </w:p>
          <w:p w14:paraId="1BDB194D" w14:textId="4DCBF969" w:rsidR="00FB1175" w:rsidRPr="001C1EBA" w:rsidRDefault="00FB1175" w:rsidP="00761E1E">
            <w:pPr>
              <w:rPr>
                <w:lang w:val="en-US"/>
              </w:rPr>
            </w:pPr>
            <w:r w:rsidRPr="001C1EBA">
              <w:rPr>
                <w:lang w:val="en-US"/>
              </w:rPr>
              <w:t>TBN-02-T</w:t>
            </w:r>
          </w:p>
        </w:tc>
        <w:tc>
          <w:tcPr>
            <w:tcW w:w="2127" w:type="dxa"/>
          </w:tcPr>
          <w:p w14:paraId="3F666D93" w14:textId="41987B85" w:rsidR="00577A6C" w:rsidRPr="001C1EBA" w:rsidRDefault="00FB1175" w:rsidP="00761E1E">
            <w:r w:rsidRPr="001C1EBA">
              <w:t>Diesel</w:t>
            </w:r>
          </w:p>
        </w:tc>
      </w:tr>
      <w:tr w:rsidR="001C1EBA" w:rsidRPr="001C1EBA" w14:paraId="5167599A" w14:textId="77777777" w:rsidTr="208842ED">
        <w:trPr>
          <w:trHeight w:val="305"/>
        </w:trPr>
        <w:tc>
          <w:tcPr>
            <w:tcW w:w="2884" w:type="dxa"/>
          </w:tcPr>
          <w:p w14:paraId="5A68EC96" w14:textId="7CAD0CEE" w:rsidR="00577A6C" w:rsidRPr="001C1EBA" w:rsidRDefault="00936572" w:rsidP="00761E1E">
            <w:r w:rsidRPr="001C1EBA">
              <w:t>Tractor</w:t>
            </w:r>
          </w:p>
        </w:tc>
        <w:tc>
          <w:tcPr>
            <w:tcW w:w="2214" w:type="dxa"/>
          </w:tcPr>
          <w:p w14:paraId="6F2D1320" w14:textId="77777777" w:rsidR="00577A6C" w:rsidRPr="001C1EBA" w:rsidRDefault="00DB412C" w:rsidP="00761E1E">
            <w:pPr>
              <w:rPr>
                <w:lang w:val="de-DE"/>
              </w:rPr>
            </w:pPr>
            <w:r w:rsidRPr="001C1EBA">
              <w:rPr>
                <w:lang w:val="de-DE"/>
              </w:rPr>
              <w:t>John Deere 3046R</w:t>
            </w:r>
          </w:p>
          <w:p w14:paraId="06491940" w14:textId="3AAEFC97" w:rsidR="00DB412C" w:rsidRPr="001C1EBA" w:rsidRDefault="00DB412C" w:rsidP="00761E1E">
            <w:pPr>
              <w:rPr>
                <w:lang w:val="de-DE"/>
              </w:rPr>
            </w:pPr>
            <w:r w:rsidRPr="001C1EBA">
              <w:rPr>
                <w:lang w:val="de-DE"/>
              </w:rPr>
              <w:t>T-40-GTK</w:t>
            </w:r>
          </w:p>
        </w:tc>
        <w:tc>
          <w:tcPr>
            <w:tcW w:w="2127" w:type="dxa"/>
          </w:tcPr>
          <w:p w14:paraId="3D5A6F29" w14:textId="5DC7F56E" w:rsidR="00577A6C" w:rsidRPr="001C1EBA" w:rsidRDefault="00DB412C" w:rsidP="00761E1E">
            <w:r w:rsidRPr="001C1EBA">
              <w:t>Diesel</w:t>
            </w:r>
          </w:p>
        </w:tc>
      </w:tr>
      <w:tr w:rsidR="001C1EBA" w:rsidRPr="001C1EBA" w14:paraId="150902EE" w14:textId="77777777" w:rsidTr="208842ED">
        <w:trPr>
          <w:trHeight w:val="285"/>
        </w:trPr>
        <w:tc>
          <w:tcPr>
            <w:tcW w:w="2884" w:type="dxa"/>
          </w:tcPr>
          <w:p w14:paraId="04E53D65" w14:textId="582105C2" w:rsidR="00577A6C" w:rsidRPr="001C1EBA" w:rsidRDefault="0022483A" w:rsidP="00761E1E">
            <w:r w:rsidRPr="001C1EBA">
              <w:t>Tractor</w:t>
            </w:r>
          </w:p>
        </w:tc>
        <w:tc>
          <w:tcPr>
            <w:tcW w:w="2214" w:type="dxa"/>
          </w:tcPr>
          <w:p w14:paraId="6970F400" w14:textId="0D048EBA" w:rsidR="00577A6C" w:rsidRPr="001C1EBA" w:rsidRDefault="0022483A" w:rsidP="00761E1E">
            <w:proofErr w:type="spellStart"/>
            <w:r w:rsidRPr="001C1EBA">
              <w:t>Shibura</w:t>
            </w:r>
            <w:proofErr w:type="spellEnd"/>
            <w:r w:rsidRPr="001C1EBA">
              <w:t xml:space="preserve"> Sx26</w:t>
            </w:r>
          </w:p>
        </w:tc>
        <w:tc>
          <w:tcPr>
            <w:tcW w:w="2127" w:type="dxa"/>
          </w:tcPr>
          <w:p w14:paraId="2D4D9990" w14:textId="21CE3862" w:rsidR="00577A6C" w:rsidRPr="001C1EBA" w:rsidRDefault="0022483A" w:rsidP="00761E1E">
            <w:r w:rsidRPr="001C1EBA">
              <w:t>Diesel</w:t>
            </w:r>
          </w:p>
        </w:tc>
      </w:tr>
      <w:tr w:rsidR="001C1EBA" w:rsidRPr="001C1EBA" w14:paraId="79720C6D" w14:textId="77777777" w:rsidTr="208842ED">
        <w:trPr>
          <w:trHeight w:val="285"/>
        </w:trPr>
        <w:tc>
          <w:tcPr>
            <w:tcW w:w="2884" w:type="dxa"/>
          </w:tcPr>
          <w:p w14:paraId="15C2213B" w14:textId="524DBB57" w:rsidR="00577A6C" w:rsidRPr="001C1EBA" w:rsidRDefault="00D53DD4" w:rsidP="00761E1E">
            <w:r w:rsidRPr="001C1EBA">
              <w:t>Minigraver</w:t>
            </w:r>
          </w:p>
        </w:tc>
        <w:tc>
          <w:tcPr>
            <w:tcW w:w="2214" w:type="dxa"/>
          </w:tcPr>
          <w:p w14:paraId="538193D2" w14:textId="1B34E0F2" w:rsidR="00577A6C" w:rsidRPr="001C1EBA" w:rsidRDefault="00D53DD4" w:rsidP="00761E1E">
            <w:r w:rsidRPr="001C1EBA">
              <w:t>DOOSAN Construction Equipment DX19</w:t>
            </w:r>
          </w:p>
        </w:tc>
        <w:tc>
          <w:tcPr>
            <w:tcW w:w="2127" w:type="dxa"/>
          </w:tcPr>
          <w:p w14:paraId="57E4D03C" w14:textId="18CA4A82" w:rsidR="00577A6C" w:rsidRPr="001C1EBA" w:rsidRDefault="06939961" w:rsidP="00761E1E">
            <w:r>
              <w:t>Diesel</w:t>
            </w:r>
          </w:p>
          <w:p w14:paraId="737F394D" w14:textId="54BC877E" w:rsidR="00577A6C" w:rsidRPr="001C1EBA" w:rsidRDefault="00577A6C" w:rsidP="00761E1E"/>
          <w:p w14:paraId="2D10D2C1" w14:textId="5EBD1435" w:rsidR="00577A6C" w:rsidRPr="001C1EBA" w:rsidRDefault="00577A6C" w:rsidP="00761E1E"/>
        </w:tc>
      </w:tr>
    </w:tbl>
    <w:p w14:paraId="3F515623" w14:textId="4F64F475" w:rsidR="208842ED" w:rsidRDefault="208842ED" w:rsidP="208842ED">
      <w:pPr>
        <w:spacing w:before="240" w:after="240" w:line="276" w:lineRule="auto"/>
        <w:rPr>
          <w:b/>
          <w:bCs/>
          <w:color w:val="ED7D31" w:themeColor="accent2"/>
        </w:rPr>
      </w:pPr>
    </w:p>
    <w:p w14:paraId="6E718BB0" w14:textId="7BF8C055" w:rsidR="208842ED" w:rsidRDefault="208842ED" w:rsidP="208842ED">
      <w:pPr>
        <w:spacing w:before="240" w:after="240" w:line="276" w:lineRule="auto"/>
        <w:rPr>
          <w:b/>
          <w:bCs/>
          <w:color w:val="ED7D31" w:themeColor="accent2"/>
        </w:rPr>
      </w:pPr>
    </w:p>
    <w:p w14:paraId="31832A67" w14:textId="747C8192" w:rsidR="007A5D9C" w:rsidRPr="007E18EF" w:rsidRDefault="007A5D9C" w:rsidP="208842ED">
      <w:pPr>
        <w:spacing w:before="240" w:after="240" w:line="276" w:lineRule="auto"/>
        <w:rPr>
          <w:color w:val="ED7D31" w:themeColor="accent2"/>
        </w:rPr>
      </w:pPr>
      <w:r w:rsidRPr="208842ED">
        <w:rPr>
          <w:b/>
          <w:bCs/>
        </w:rPr>
        <w:t>Verduurzaming</w:t>
      </w:r>
      <w:r>
        <w:br/>
      </w:r>
      <w:r w:rsidR="001F3502" w:rsidRPr="208842ED">
        <w:t xml:space="preserve">Finovi </w:t>
      </w:r>
      <w:r w:rsidRPr="208842ED">
        <w:t xml:space="preserve">houdt de ontwikkelingen in de markt scherp in de gaten. Per materieelcategorie wordt er per aankoop zorgvuldig afgewogen wat de opties zijn. Hierbij wordt altijd een afweging gemaakt tussen de (extra) kosten, kwaliteit en duurzaamheid. Dat wil zeggen dat bijvoorbeeld een elektrische </w:t>
      </w:r>
      <w:proofErr w:type="spellStart"/>
      <w:r w:rsidRPr="208842ED">
        <w:t>palenrammer</w:t>
      </w:r>
      <w:proofErr w:type="spellEnd"/>
      <w:r w:rsidRPr="208842ED">
        <w:t xml:space="preserve"> momenteel niet realistisch is vanwege het grote kostenverschil (700 euro tegen 10.000 euro voor een elektrische variant).</w:t>
      </w:r>
    </w:p>
    <w:p w14:paraId="0FFE87F7" w14:textId="37F25ABB" w:rsidR="007A5D9C" w:rsidRPr="007E18EF" w:rsidRDefault="007A5D9C" w:rsidP="208842ED">
      <w:pPr>
        <w:spacing w:before="240" w:after="240" w:line="276" w:lineRule="auto"/>
        <w:rPr>
          <w:color w:val="ED7D31" w:themeColor="accent2"/>
        </w:rPr>
      </w:pPr>
      <w:r w:rsidRPr="208842ED">
        <w:rPr>
          <w:b/>
          <w:bCs/>
        </w:rPr>
        <w:t>Veegmachines</w:t>
      </w:r>
      <w:r>
        <w:br/>
      </w:r>
      <w:r w:rsidRPr="208842ED">
        <w:t>Recent marktonderzoek heeft laten zien dat er elektrische veegmachines beschikbaar zijn voor een meerprijs van ongeveer 1.500 euro. Dit is acceptabel, waardoor de elektrische variant in overweging genomen kan worden op het moment dat er een nieuwe veegmachine aangeschaft moet worden.</w:t>
      </w:r>
    </w:p>
    <w:p w14:paraId="69282F99" w14:textId="4EAEF29C" w:rsidR="003A3EFE" w:rsidRPr="007E18EF" w:rsidRDefault="007A5D9C" w:rsidP="208842ED">
      <w:pPr>
        <w:rPr>
          <w:color w:val="ED7D31" w:themeColor="accent2"/>
        </w:rPr>
      </w:pPr>
      <w:r w:rsidRPr="208842ED">
        <w:rPr>
          <w:b/>
          <w:bCs/>
        </w:rPr>
        <w:t>Tractoren</w:t>
      </w:r>
      <w:r>
        <w:br/>
      </w:r>
      <w:r w:rsidRPr="208842ED">
        <w:t>De tractoren zijn momenteel allemaal nog diesel-aangedreven, maar elektrificeren wordt steeds interessanter. De accu-prestaties in relatie tot de trekkracht is bepalend voor de keuze. Binnen de onderhoudstak is als doelstelling opgenomen om de te vervangen tractoren te elektrificeren. Ook wordt de mogelijkheid om huidige tractoren om te bouwen naar een elektrische aandrijving onderzocht</w:t>
      </w:r>
      <w:r w:rsidR="003A3EFE" w:rsidRPr="208842ED">
        <w:t>.</w:t>
      </w:r>
    </w:p>
    <w:p w14:paraId="68605C81" w14:textId="77777777" w:rsidR="003A3EFE" w:rsidRPr="007E18EF" w:rsidRDefault="003A3EFE" w:rsidP="208842ED">
      <w:pPr>
        <w:rPr>
          <w:color w:val="ED7D31" w:themeColor="accent2"/>
        </w:rPr>
      </w:pPr>
    </w:p>
    <w:p w14:paraId="55A5EAFA" w14:textId="5AD077D5" w:rsidR="00936E29" w:rsidRPr="007E18EF" w:rsidRDefault="00936E29" w:rsidP="208842ED">
      <w:pPr>
        <w:rPr>
          <w:color w:val="ED7D31" w:themeColor="accent2"/>
        </w:rPr>
      </w:pPr>
      <w:r w:rsidRPr="208842ED">
        <w:t xml:space="preserve">Er zijn ondertussen enkele nieuwe tractoren aangeschaft, echter is de keuze nog niet voor elektrisch gevallen, gezien het vermogen en de accucapaciteit. Er zijn mogelijkheden voor uitgebreide </w:t>
      </w:r>
      <w:proofErr w:type="spellStart"/>
      <w:r w:rsidRPr="208842ED">
        <w:t>accupakketen</w:t>
      </w:r>
      <w:proofErr w:type="spellEnd"/>
      <w:r w:rsidRPr="208842ED">
        <w:t>, echter zijn deze te monteren op de front-</w:t>
      </w:r>
      <w:proofErr w:type="spellStart"/>
      <w:r w:rsidRPr="208842ED">
        <w:t>ass</w:t>
      </w:r>
      <w:proofErr w:type="spellEnd"/>
      <w:r w:rsidRPr="208842ED">
        <w:t xml:space="preserve"> van de tractor, daar waar wij machines hebben hangen. Er wordt in 2025 een demo</w:t>
      </w:r>
      <w:r w:rsidR="00EF3625" w:rsidRPr="208842ED">
        <w:t>-</w:t>
      </w:r>
      <w:r w:rsidRPr="208842ED">
        <w:t>dag georganiseerd waarbij een elektrische tractor wordt uitgeprobeerd.</w:t>
      </w:r>
    </w:p>
    <w:p w14:paraId="6593D868" w14:textId="77777777" w:rsidR="006569EE" w:rsidRPr="00DB6875" w:rsidRDefault="006569EE" w:rsidP="00AA1D38">
      <w:pPr>
        <w:rPr>
          <w:iCs/>
        </w:rPr>
      </w:pPr>
    </w:p>
    <w:p w14:paraId="390627F2" w14:textId="77777777" w:rsidR="00ED79FB" w:rsidRDefault="00ED79FB" w:rsidP="001A14E7">
      <w:pPr>
        <w:rPr>
          <w:color w:val="ED7D31" w:themeColor="accent2"/>
        </w:rPr>
      </w:pPr>
    </w:p>
    <w:p w14:paraId="3C373293" w14:textId="77777777" w:rsidR="00ED79FB" w:rsidRDefault="00583631" w:rsidP="003837D1">
      <w:pPr>
        <w:pStyle w:val="Kop3"/>
      </w:pPr>
      <w:bookmarkStart w:id="116" w:name="_Toc142472142"/>
      <w:r>
        <w:t>Conclusies en aanbevelingen</w:t>
      </w:r>
      <w:bookmarkEnd w:id="116"/>
    </w:p>
    <w:p w14:paraId="2C9C0C11" w14:textId="34C3B56C" w:rsidR="003E2C0B" w:rsidRPr="007E18EF" w:rsidRDefault="000B6FB4" w:rsidP="7B36BBC2">
      <w:pPr>
        <w:rPr>
          <w:color w:val="ED7D31" w:themeColor="accent2"/>
        </w:rPr>
      </w:pPr>
      <w:r w:rsidRPr="7B36BBC2">
        <w:t xml:space="preserve">Het afgelopen jaar is de </w:t>
      </w:r>
      <w:r w:rsidR="00227933" w:rsidRPr="7B36BBC2">
        <w:t>derde</w:t>
      </w:r>
      <w:r w:rsidRPr="7B36BBC2">
        <w:t xml:space="preserve"> </w:t>
      </w:r>
      <w:proofErr w:type="spellStart"/>
      <w:r w:rsidRPr="7B36BBC2">
        <w:t>bedrijfsbr</w:t>
      </w:r>
      <w:r w:rsidR="00C8122A" w:rsidRPr="7B36BBC2">
        <w:t>e</w:t>
      </w:r>
      <w:r w:rsidRPr="7B36BBC2">
        <w:t>de</w:t>
      </w:r>
      <w:proofErr w:type="spellEnd"/>
      <w:r w:rsidRPr="7B36BBC2">
        <w:t xml:space="preserve"> energiebeoordeling uit</w:t>
      </w:r>
      <w:r w:rsidR="00FD6B59" w:rsidRPr="7B36BBC2">
        <w:t xml:space="preserve">gevoerd. </w:t>
      </w:r>
      <w:r w:rsidR="00CA1857" w:rsidRPr="7B36BBC2">
        <w:t xml:space="preserve"> </w:t>
      </w:r>
      <w:r w:rsidR="003E2C0B" w:rsidRPr="7B36BBC2">
        <w:t xml:space="preserve">Gebaseerd op de </w:t>
      </w:r>
      <w:r w:rsidR="00CA1857" w:rsidRPr="7B36BBC2">
        <w:t xml:space="preserve">voorgaande en </w:t>
      </w:r>
      <w:r w:rsidR="003E2C0B" w:rsidRPr="7B36BBC2">
        <w:t>bovenstaande analyses</w:t>
      </w:r>
      <w:r w:rsidR="00CA1857" w:rsidRPr="7B36BBC2">
        <w:t xml:space="preserve"> </w:t>
      </w:r>
      <w:r w:rsidR="003E2C0B" w:rsidRPr="7B36BBC2">
        <w:t xml:space="preserve">worden maatregelen benoemd die ervoor kunnen zorgen dat het </w:t>
      </w:r>
      <w:r w:rsidR="7D647479" w:rsidRPr="7B36BBC2">
        <w:t>brandstof</w:t>
      </w:r>
      <w:r w:rsidR="58DD1203" w:rsidRPr="7B36BBC2">
        <w:t>- en energie</w:t>
      </w:r>
      <w:r w:rsidR="7D647479" w:rsidRPr="7B36BBC2">
        <w:t>verbruik</w:t>
      </w:r>
      <w:r w:rsidR="003E2C0B" w:rsidRPr="7B36BBC2">
        <w:t xml:space="preserve"> de komende jaren </w:t>
      </w:r>
      <w:r w:rsidR="7D647479" w:rsidRPr="7B36BBC2">
        <w:t>afne</w:t>
      </w:r>
      <w:r w:rsidR="4297AA14" w:rsidRPr="7B36BBC2">
        <w:t>e</w:t>
      </w:r>
      <w:r w:rsidR="7D647479" w:rsidRPr="7B36BBC2">
        <w:t>m</w:t>
      </w:r>
      <w:r w:rsidR="444F58C6" w:rsidRPr="7B36BBC2">
        <w:t>t</w:t>
      </w:r>
      <w:r w:rsidR="003E2C0B" w:rsidRPr="7B36BBC2">
        <w:t>.</w:t>
      </w:r>
      <w:r w:rsidR="007463F5" w:rsidRPr="7B36BBC2">
        <w:t xml:space="preserve"> </w:t>
      </w:r>
    </w:p>
    <w:p w14:paraId="7987B9C5" w14:textId="77777777" w:rsidR="00583631" w:rsidRPr="007E18EF" w:rsidRDefault="00583631" w:rsidP="7B36BBC2">
      <w:pPr>
        <w:rPr>
          <w:b/>
          <w:bCs/>
          <w:color w:val="ED7D31" w:themeColor="accent2"/>
        </w:rPr>
      </w:pPr>
    </w:p>
    <w:p w14:paraId="5B52B1DA" w14:textId="77777777" w:rsidR="00606BAB" w:rsidRPr="007E18EF" w:rsidRDefault="00606BAB" w:rsidP="208842ED">
      <w:pPr>
        <w:pStyle w:val="Lijstalinea"/>
        <w:numPr>
          <w:ilvl w:val="0"/>
          <w:numId w:val="18"/>
        </w:numPr>
        <w:spacing w:before="120" w:after="120"/>
        <w:rPr>
          <w:color w:val="ED7D31" w:themeColor="accent2"/>
        </w:rPr>
      </w:pPr>
      <w:r w:rsidRPr="208842ED">
        <w:t>Marktontwikkelingen blijven bijhouden en periodiek contact zoeken met zowel leveranciers als sectorgenoten om ervaringen te wisselen</w:t>
      </w:r>
    </w:p>
    <w:p w14:paraId="3824720A" w14:textId="6F05AE09" w:rsidR="493589EB" w:rsidRPr="007E18EF" w:rsidRDefault="493589EB" w:rsidP="208842ED">
      <w:pPr>
        <w:pStyle w:val="Lijstalinea"/>
        <w:numPr>
          <w:ilvl w:val="1"/>
          <w:numId w:val="18"/>
        </w:numPr>
        <w:spacing w:before="120" w:after="120"/>
        <w:rPr>
          <w:color w:val="ED7D31" w:themeColor="accent2"/>
        </w:rPr>
      </w:pPr>
      <w:r w:rsidRPr="208842ED">
        <w:t>Deelnemen aan beurzen en congressen.</w:t>
      </w:r>
    </w:p>
    <w:p w14:paraId="0E7DE42C" w14:textId="77777777" w:rsidR="00606BAB" w:rsidRPr="007E18EF" w:rsidRDefault="00606BAB" w:rsidP="208842ED">
      <w:pPr>
        <w:pStyle w:val="Lijstalinea"/>
        <w:numPr>
          <w:ilvl w:val="0"/>
          <w:numId w:val="18"/>
        </w:numPr>
        <w:spacing w:before="120" w:after="120"/>
        <w:rPr>
          <w:color w:val="ED7D31" w:themeColor="accent2"/>
        </w:rPr>
      </w:pPr>
      <w:r w:rsidRPr="208842ED">
        <w:t>Bewustwording bij medewerkers creëren, middels:</w:t>
      </w:r>
    </w:p>
    <w:p w14:paraId="0EA715A6" w14:textId="5E56C100" w:rsidR="00606BAB" w:rsidRPr="007E18EF" w:rsidRDefault="00606BAB" w:rsidP="208842ED">
      <w:pPr>
        <w:pStyle w:val="Lijstalinea"/>
        <w:numPr>
          <w:ilvl w:val="1"/>
          <w:numId w:val="18"/>
        </w:numPr>
        <w:spacing w:before="120" w:after="120"/>
        <w:rPr>
          <w:color w:val="ED7D31" w:themeColor="accent2"/>
        </w:rPr>
      </w:pPr>
      <w:r w:rsidRPr="208842ED">
        <w:t>Terugkoppelen van het verbruik</w:t>
      </w:r>
      <w:r w:rsidR="51B035AB" w:rsidRPr="208842ED">
        <w:t>;</w:t>
      </w:r>
    </w:p>
    <w:p w14:paraId="6765577F" w14:textId="20274106" w:rsidR="51B035AB" w:rsidRPr="007E18EF" w:rsidRDefault="51B035AB" w:rsidP="208842ED">
      <w:pPr>
        <w:pStyle w:val="Lijstalinea"/>
        <w:numPr>
          <w:ilvl w:val="1"/>
          <w:numId w:val="18"/>
        </w:numPr>
        <w:spacing w:before="120" w:after="120"/>
        <w:rPr>
          <w:color w:val="ED7D31" w:themeColor="accent2"/>
        </w:rPr>
      </w:pPr>
      <w:r w:rsidRPr="208842ED">
        <w:t xml:space="preserve">Houden van een </w:t>
      </w:r>
      <w:proofErr w:type="spellStart"/>
      <w:r w:rsidRPr="208842ED">
        <w:t>toolbox</w:t>
      </w:r>
      <w:proofErr w:type="spellEnd"/>
      <w:r w:rsidRPr="208842ED">
        <w:t xml:space="preserve"> over rijgedrag</w:t>
      </w:r>
      <w:r w:rsidR="52BA6974" w:rsidRPr="208842ED">
        <w:t>.</w:t>
      </w:r>
    </w:p>
    <w:p w14:paraId="7639FE57" w14:textId="77777777" w:rsidR="00606BAB" w:rsidRPr="007E18EF" w:rsidRDefault="00606BAB" w:rsidP="208842ED">
      <w:pPr>
        <w:pStyle w:val="Lijstalinea"/>
        <w:numPr>
          <w:ilvl w:val="0"/>
          <w:numId w:val="18"/>
        </w:numPr>
        <w:spacing w:before="120" w:after="120"/>
        <w:rPr>
          <w:color w:val="ED7D31" w:themeColor="accent2"/>
        </w:rPr>
      </w:pPr>
      <w:r w:rsidRPr="208842ED">
        <w:t>Inkoopbeleid opstellen voor het wagenpark, waarin het volgende wordt opgenomen:</w:t>
      </w:r>
    </w:p>
    <w:p w14:paraId="29DF42B2" w14:textId="48B64902" w:rsidR="00606BAB" w:rsidRPr="007E18EF" w:rsidRDefault="00606BAB" w:rsidP="208842ED">
      <w:pPr>
        <w:pStyle w:val="Lijstalinea"/>
        <w:numPr>
          <w:ilvl w:val="1"/>
          <w:numId w:val="18"/>
        </w:numPr>
        <w:spacing w:before="120" w:after="120"/>
        <w:rPr>
          <w:color w:val="ED7D31" w:themeColor="accent2"/>
        </w:rPr>
      </w:pPr>
      <w:r w:rsidRPr="208842ED">
        <w:t>Bij vervanging kiezen voor elektrisch</w:t>
      </w:r>
      <w:r w:rsidR="463DE954" w:rsidRPr="208842ED">
        <w:t xml:space="preserve">, mits financieel </w:t>
      </w:r>
      <w:r w:rsidR="004570EE" w:rsidRPr="208842ED">
        <w:t xml:space="preserve">en qua vermogen </w:t>
      </w:r>
      <w:r w:rsidR="463DE954" w:rsidRPr="208842ED">
        <w:t>realistisch</w:t>
      </w:r>
      <w:r w:rsidR="33DDC760" w:rsidRPr="208842ED">
        <w:t>;</w:t>
      </w:r>
    </w:p>
    <w:p w14:paraId="53396894" w14:textId="38A545AB" w:rsidR="00BD4205" w:rsidRPr="007E18EF" w:rsidRDefault="00606BAB" w:rsidP="208842ED">
      <w:pPr>
        <w:pStyle w:val="Lijstalinea"/>
        <w:numPr>
          <w:ilvl w:val="1"/>
          <w:numId w:val="18"/>
        </w:numPr>
        <w:spacing w:before="120" w:after="120"/>
        <w:rPr>
          <w:color w:val="ED7D31" w:themeColor="accent2"/>
        </w:rPr>
      </w:pPr>
      <w:r w:rsidRPr="208842ED">
        <w:lastRenderedPageBreak/>
        <w:t>Indien elektrisch niet mogelijk is, minimaal EURO 6 motor en/of maximale CO</w:t>
      </w:r>
      <w:r w:rsidRPr="208842ED">
        <w:rPr>
          <w:vertAlign w:val="subscript"/>
        </w:rPr>
        <w:t>2</w:t>
      </w:r>
      <w:r w:rsidRPr="208842ED">
        <w:t>-uitstoot per gereden kilometer.</w:t>
      </w:r>
    </w:p>
    <w:p w14:paraId="73E8AF5F" w14:textId="29D276D4" w:rsidR="00496919" w:rsidRDefault="008C3A95" w:rsidP="00496919">
      <w:pPr>
        <w:pStyle w:val="Lijstalinea"/>
        <w:numPr>
          <w:ilvl w:val="0"/>
          <w:numId w:val="18"/>
        </w:numPr>
        <w:spacing w:before="120" w:after="120"/>
      </w:pPr>
      <w:r w:rsidRPr="00496919">
        <w:t xml:space="preserve">Inzetten van HVO bij </w:t>
      </w:r>
      <w:r w:rsidR="00552423" w:rsidRPr="00496919">
        <w:t>specifieke projecten</w:t>
      </w:r>
      <w:r w:rsidR="00271B61" w:rsidRPr="00496919">
        <w:t>.</w:t>
      </w:r>
    </w:p>
    <w:p w14:paraId="5300E8A4" w14:textId="3DD6E594" w:rsidR="00DB6875" w:rsidRPr="00496919" w:rsidRDefault="00D63E1F" w:rsidP="208842ED">
      <w:pPr>
        <w:pStyle w:val="Lijstalinea"/>
        <w:numPr>
          <w:ilvl w:val="1"/>
          <w:numId w:val="18"/>
        </w:numPr>
        <w:spacing w:before="120" w:after="120"/>
      </w:pPr>
      <w:r>
        <w:t>Blijvend inschrijven op projecten waarbij het toepassen van HVO een gunningscriterium is</w:t>
      </w:r>
      <w:r w:rsidR="004E29C5">
        <w:t>, inzetten op hoogst haalbare waar gevraagd</w:t>
      </w:r>
      <w:r>
        <w:t>.</w:t>
      </w:r>
    </w:p>
    <w:p w14:paraId="5AABC14E" w14:textId="3BAB6250" w:rsidR="208842ED" w:rsidRDefault="208842ED" w:rsidP="208842ED">
      <w:pPr>
        <w:spacing w:before="120" w:after="120"/>
        <w:rPr>
          <w:szCs w:val="19"/>
        </w:rPr>
      </w:pPr>
    </w:p>
    <w:p w14:paraId="0EB04F32" w14:textId="6B318CAB" w:rsidR="208842ED" w:rsidRDefault="208842ED" w:rsidP="208842ED">
      <w:pPr>
        <w:spacing w:before="120" w:after="120"/>
        <w:rPr>
          <w:szCs w:val="19"/>
        </w:rPr>
      </w:pPr>
    </w:p>
    <w:p w14:paraId="40EAD242" w14:textId="205908FD" w:rsidR="208842ED" w:rsidRDefault="208842ED" w:rsidP="208842ED">
      <w:pPr>
        <w:spacing w:before="120" w:after="120"/>
        <w:rPr>
          <w:szCs w:val="19"/>
        </w:rPr>
      </w:pPr>
    </w:p>
    <w:p w14:paraId="409CC586" w14:textId="77777777" w:rsidR="005B1065" w:rsidRDefault="005B1065" w:rsidP="005B1065">
      <w:pPr>
        <w:pStyle w:val="Kop3"/>
      </w:pPr>
      <w:bookmarkStart w:id="117" w:name="_Toc142472143"/>
      <w:r>
        <w:t>Energie reductiedoelstelling</w:t>
      </w:r>
      <w:bookmarkEnd w:id="117"/>
    </w:p>
    <w:p w14:paraId="42D3F892" w14:textId="77777777" w:rsidR="007E18EF" w:rsidRDefault="007E18EF" w:rsidP="007E18EF"/>
    <w:p w14:paraId="12536B19" w14:textId="25A86B9D" w:rsidR="007E18EF" w:rsidRDefault="007E18EF" w:rsidP="007E18EF">
      <w:r>
        <w:t>Afgelopen jaar heeft Finovi de energiedoestelling herzien en geformuleerd als: “Finovi wil in 2026 50% energie reduceren ten opzichte van 2021 gerelateerd aan omzet. “</w:t>
      </w:r>
    </w:p>
    <w:p w14:paraId="489624B7" w14:textId="77777777" w:rsidR="007E18EF" w:rsidRDefault="007E18EF" w:rsidP="007E18EF"/>
    <w:p w14:paraId="78CD6BDD" w14:textId="5579F5B5" w:rsidR="003652D8" w:rsidRPr="00BA7CFA" w:rsidRDefault="005B1065" w:rsidP="003652D8">
      <w:r w:rsidRPr="00BA7CFA">
        <w:t>Deze reductie moet het gevolg zijn van de volgende maatregelen:</w:t>
      </w:r>
    </w:p>
    <w:p w14:paraId="154BCD6E" w14:textId="6AC28B8A" w:rsidR="003652D8" w:rsidRPr="00BA7CFA" w:rsidRDefault="003652D8" w:rsidP="003652D8"/>
    <w:p w14:paraId="16F25895" w14:textId="34B0AC44" w:rsidR="00E75066" w:rsidRPr="00BA7CFA" w:rsidRDefault="00E75066" w:rsidP="00523A24">
      <w:pPr>
        <w:pStyle w:val="Lijstalinea"/>
        <w:numPr>
          <w:ilvl w:val="0"/>
          <w:numId w:val="25"/>
        </w:numPr>
      </w:pPr>
      <w:r w:rsidRPr="00BA7CFA">
        <w:t>Aanschaffen van zuinige bedrijfswagens (A- of B-label, hybride/elektrische auto)</w:t>
      </w:r>
    </w:p>
    <w:p w14:paraId="6A3CFBEE" w14:textId="77777777" w:rsidR="00E75066" w:rsidRPr="00BA7CFA" w:rsidRDefault="00E75066" w:rsidP="00523A24">
      <w:pPr>
        <w:pStyle w:val="Lijstalinea"/>
        <w:numPr>
          <w:ilvl w:val="0"/>
          <w:numId w:val="24"/>
        </w:numPr>
      </w:pPr>
      <w:r w:rsidRPr="00BA7CFA">
        <w:t>Elektrificatie personenauto's</w:t>
      </w:r>
    </w:p>
    <w:p w14:paraId="4099D551" w14:textId="77777777" w:rsidR="00E75066" w:rsidRPr="00BA7CFA" w:rsidRDefault="00E75066" w:rsidP="00523A24">
      <w:pPr>
        <w:pStyle w:val="Lijstalinea"/>
        <w:numPr>
          <w:ilvl w:val="0"/>
          <w:numId w:val="24"/>
        </w:numPr>
      </w:pPr>
      <w:r w:rsidRPr="00BA7CFA">
        <w:t>Elektrificatie trekkers (aanschaf en ombouw)</w:t>
      </w:r>
    </w:p>
    <w:p w14:paraId="689967EE" w14:textId="77777777" w:rsidR="00E75066" w:rsidRPr="00BA7CFA" w:rsidRDefault="00E75066" w:rsidP="00523A24">
      <w:pPr>
        <w:pStyle w:val="Lijstalinea"/>
        <w:numPr>
          <w:ilvl w:val="0"/>
          <w:numId w:val="24"/>
        </w:numPr>
      </w:pPr>
      <w:r w:rsidRPr="00BA7CFA">
        <w:t>Aanschaffen van elektrische bedrijfsmiddelen (machines en gereedschap)</w:t>
      </w:r>
    </w:p>
    <w:p w14:paraId="6034F7B1" w14:textId="77777777" w:rsidR="00E75066" w:rsidRPr="00BA7CFA" w:rsidRDefault="00E75066" w:rsidP="00523A24">
      <w:pPr>
        <w:pStyle w:val="Lijstalinea"/>
        <w:numPr>
          <w:ilvl w:val="0"/>
          <w:numId w:val="24"/>
        </w:numPr>
      </w:pPr>
      <w:r w:rsidRPr="00BA7CFA">
        <w:t>Onderzoek doen naar het toepassen van biodiesel (HVO) voor het materieel</w:t>
      </w:r>
    </w:p>
    <w:p w14:paraId="6B0F2028" w14:textId="77777777" w:rsidR="00E75066" w:rsidRPr="00BA7CFA" w:rsidRDefault="00E75066" w:rsidP="00523A24">
      <w:pPr>
        <w:pStyle w:val="Lijstalinea"/>
        <w:numPr>
          <w:ilvl w:val="0"/>
          <w:numId w:val="24"/>
        </w:numPr>
      </w:pPr>
      <w:r w:rsidRPr="00BA7CFA">
        <w:t>Het stimuleren van carpoolen naar projectlocaties</w:t>
      </w:r>
    </w:p>
    <w:p w14:paraId="70266A1E" w14:textId="3E519D16" w:rsidR="005B1065" w:rsidRPr="00BA7CFA" w:rsidRDefault="00E75066" w:rsidP="00523A24">
      <w:pPr>
        <w:pStyle w:val="Lijstalinea"/>
        <w:numPr>
          <w:ilvl w:val="0"/>
          <w:numId w:val="24"/>
        </w:numPr>
      </w:pPr>
      <w:r w:rsidRPr="00BA7CFA">
        <w:t>Frequent onderhoud in combinatie met het controleren van de bandenspanning</w:t>
      </w:r>
    </w:p>
    <w:p w14:paraId="64DC68B0" w14:textId="77777777" w:rsidR="000174F8" w:rsidRDefault="000174F8" w:rsidP="005B1065"/>
    <w:p w14:paraId="5B784D39" w14:textId="3889AB6F" w:rsidR="00E75066" w:rsidRDefault="007E18EF" w:rsidP="005B1065">
      <w:pPr>
        <w:rPr>
          <w:color w:val="ED7D31" w:themeColor="accent2"/>
        </w:rPr>
      </w:pPr>
      <w:r w:rsidRPr="007E18EF">
        <w:rPr>
          <w:noProof/>
        </w:rPr>
        <w:drawing>
          <wp:inline distT="0" distB="0" distL="0" distR="0" wp14:anchorId="77936997" wp14:editId="16F5C949">
            <wp:extent cx="5760720" cy="1057910"/>
            <wp:effectExtent l="0" t="0" r="0" b="8890"/>
            <wp:docPr id="12878108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057910"/>
                    </a:xfrm>
                    <a:prstGeom prst="rect">
                      <a:avLst/>
                    </a:prstGeom>
                    <a:noFill/>
                    <a:ln>
                      <a:noFill/>
                    </a:ln>
                  </pic:spPr>
                </pic:pic>
              </a:graphicData>
            </a:graphic>
          </wp:inline>
        </w:drawing>
      </w:r>
    </w:p>
    <w:p w14:paraId="6F3EA739" w14:textId="77777777" w:rsidR="007E18EF" w:rsidRDefault="007E18EF" w:rsidP="005B1065">
      <w:pPr>
        <w:rPr>
          <w:color w:val="ED7D31" w:themeColor="accent2"/>
        </w:rPr>
      </w:pPr>
    </w:p>
    <w:p w14:paraId="69D3B6F8" w14:textId="19093278" w:rsidR="007E18EF" w:rsidRPr="00E879A6" w:rsidRDefault="007E18EF" w:rsidP="005B1065">
      <w:r w:rsidRPr="007E18EF">
        <w:t>De huidige voortgang betreft 44% reductie ten opzichte van 2021. De reden dat het totale energieverbruik minder is gedaald dan gedacht, is vanwege de inclusie van de opwek zon</w:t>
      </w:r>
      <w:r w:rsidR="59CBC563">
        <w:t xml:space="preserve"> wat voorgaande jaren niet was meegenomen. Toch heeft </w:t>
      </w:r>
      <w:proofErr w:type="spellStart"/>
      <w:r w:rsidR="59CBC563">
        <w:t>Finivo</w:t>
      </w:r>
      <w:proofErr w:type="spellEnd"/>
      <w:r w:rsidR="59CBC563">
        <w:t xml:space="preserve">, ondanks deze inclusie, een reductie behaald van 44% wat in lijn ligt met de doelstelling van 50% in 2026. </w:t>
      </w:r>
    </w:p>
    <w:p w14:paraId="5F050DED" w14:textId="6010A459" w:rsidR="2CC35A65" w:rsidRDefault="2CC35A65"/>
    <w:p w14:paraId="502A72E6" w14:textId="77777777" w:rsidR="00220745" w:rsidRPr="0080769A" w:rsidRDefault="00220745" w:rsidP="00E25517">
      <w:pPr>
        <w:pStyle w:val="Kop2"/>
      </w:pPr>
      <w:bookmarkStart w:id="118" w:name="_Toc17187877"/>
      <w:bookmarkStart w:id="119" w:name="_Toc90908442"/>
      <w:bookmarkStart w:id="120" w:name="_Toc118736251"/>
      <w:bookmarkStart w:id="121" w:name="_Toc142472144"/>
      <w:r w:rsidRPr="0080769A">
        <w:t>Conclusie ambitiebepaling</w:t>
      </w:r>
      <w:bookmarkEnd w:id="118"/>
      <w:bookmarkEnd w:id="119"/>
      <w:bookmarkEnd w:id="120"/>
      <w:bookmarkEnd w:id="121"/>
    </w:p>
    <w:p w14:paraId="0786D0D4" w14:textId="355E0781" w:rsidR="00220745" w:rsidRPr="008D178A" w:rsidRDefault="00D17187" w:rsidP="00220745">
      <w:r w:rsidRPr="008D178A">
        <w:t>Finovi</w:t>
      </w:r>
      <w:r w:rsidR="00220745" w:rsidRPr="008D178A">
        <w:t xml:space="preserve"> heeft naar aanleiding van bovenstaande vergelijkingen en de maatregellijst geconcludeerd dat de</w:t>
      </w:r>
      <w:r w:rsidR="008D178A" w:rsidRPr="008D178A">
        <w:t xml:space="preserve"> nieuwe</w:t>
      </w:r>
      <w:r w:rsidR="00220745" w:rsidRPr="008D178A">
        <w:t xml:space="preserve"> reductiedoelstelling </w:t>
      </w:r>
      <w:r w:rsidR="6743BB06" w:rsidRPr="008D178A">
        <w:t xml:space="preserve">zoals </w:t>
      </w:r>
      <w:r w:rsidR="00220745" w:rsidRPr="008D178A">
        <w:t xml:space="preserve">gepresenteerd voldoende ambitieus is. </w:t>
      </w:r>
      <w:r w:rsidR="003E12EA" w:rsidRPr="008D178A">
        <w:t>Kijkend naar de sectorgenoten blijkt ook dat de reductiedoestelling van</w:t>
      </w:r>
      <w:r w:rsidR="003A3EFE">
        <w:t xml:space="preserve"> 55</w:t>
      </w:r>
      <w:r w:rsidR="008D178A" w:rsidRPr="008D178A">
        <w:t xml:space="preserve"> </w:t>
      </w:r>
      <w:r w:rsidR="003E12EA" w:rsidRPr="008D178A">
        <w:t>% van Finovi ambitieus is en in lijn ligt met de sectorgenoten. De</w:t>
      </w:r>
      <w:r w:rsidR="003E12EA" w:rsidRPr="008D178A">
        <w:rPr>
          <w:b/>
          <w:bCs/>
        </w:rPr>
        <w:t xml:space="preserve"> </w:t>
      </w:r>
      <w:r w:rsidR="00220745" w:rsidRPr="008D178A">
        <w:t>organisatie schat zichzelf op het gebied van CO</w:t>
      </w:r>
      <w:r w:rsidR="00220745" w:rsidRPr="008D178A">
        <w:rPr>
          <w:vertAlign w:val="subscript"/>
        </w:rPr>
        <w:t>2</w:t>
      </w:r>
      <w:r w:rsidR="00220745" w:rsidRPr="008D178A">
        <w:t xml:space="preserve">-reductie in als </w:t>
      </w:r>
      <w:r w:rsidR="132B1DF4" w:rsidRPr="008D178A">
        <w:t>vooruitstrevend</w:t>
      </w:r>
      <w:r w:rsidR="56919C33" w:rsidRPr="008D178A">
        <w:t xml:space="preserve"> vergeleken met sectorgenoten.</w:t>
      </w:r>
      <w:r w:rsidR="773DE356" w:rsidRPr="008D178A">
        <w:t xml:space="preserve"> Dit</w:t>
      </w:r>
      <w:r w:rsidR="56919C33" w:rsidRPr="008D178A">
        <w:t xml:space="preserve"> </w:t>
      </w:r>
      <w:r w:rsidR="773DE356" w:rsidRPr="008D178A">
        <w:t>voornamelijk omdat niet alleen wordt ingezet op verduurzaming van eigen processen, m</w:t>
      </w:r>
      <w:r w:rsidR="326DC2B9" w:rsidRPr="008D178A">
        <w:t xml:space="preserve">aar ook op </w:t>
      </w:r>
      <w:r w:rsidR="773DE356" w:rsidRPr="008D178A">
        <w:t xml:space="preserve">verduurzaming van systemen welke in de gehele </w:t>
      </w:r>
      <w:r w:rsidR="09EA9BC5" w:rsidRPr="008D178A">
        <w:t>sport</w:t>
      </w:r>
      <w:r w:rsidR="773DE356" w:rsidRPr="008D178A">
        <w:t xml:space="preserve">branche </w:t>
      </w:r>
      <w:r w:rsidR="00D8BB98" w:rsidRPr="008D178A">
        <w:t xml:space="preserve">relevant </w:t>
      </w:r>
      <w:r w:rsidR="773DE356" w:rsidRPr="008D178A">
        <w:t xml:space="preserve">zijn (bijvoorbeeld </w:t>
      </w:r>
      <w:proofErr w:type="gramStart"/>
      <w:r w:rsidR="773DE356" w:rsidRPr="008D178A">
        <w:t>middels</w:t>
      </w:r>
      <w:proofErr w:type="gramEnd"/>
      <w:r w:rsidR="773DE356" w:rsidRPr="008D178A">
        <w:t xml:space="preserve"> het collectorveld)</w:t>
      </w:r>
      <w:r w:rsidR="56919C33" w:rsidRPr="008D178A">
        <w:t>.</w:t>
      </w:r>
    </w:p>
    <w:p w14:paraId="5A05FE60" w14:textId="77777777" w:rsidR="00220745" w:rsidRPr="008D178A" w:rsidRDefault="00220745" w:rsidP="001A14E7"/>
    <w:p w14:paraId="32FC8CE8" w14:textId="77777777" w:rsidR="006C2E3E" w:rsidRPr="008D178A" w:rsidRDefault="00D94460" w:rsidP="00D41B4C">
      <w:pPr>
        <w:jc w:val="left"/>
      </w:pPr>
      <w:r w:rsidRPr="008D178A">
        <w:br w:type="page"/>
      </w:r>
    </w:p>
    <w:p w14:paraId="1DB66691" w14:textId="77777777" w:rsidR="00A45B03" w:rsidRPr="003A2D7C" w:rsidRDefault="00A45B03" w:rsidP="00A45B03">
      <w:pPr>
        <w:pStyle w:val="Kop1"/>
        <w:numPr>
          <w:ilvl w:val="0"/>
          <w:numId w:val="0"/>
        </w:numPr>
        <w:ind w:left="432" w:hanging="432"/>
      </w:pPr>
      <w:bookmarkStart w:id="122" w:name="_Toc30071630"/>
      <w:bookmarkStart w:id="123" w:name="_Toc118736252"/>
      <w:bookmarkStart w:id="124" w:name="_Toc142472145"/>
      <w:r w:rsidRPr="003A2D7C">
        <w:lastRenderedPageBreak/>
        <w:t>Disclaimer &amp; Colofon</w:t>
      </w:r>
      <w:bookmarkEnd w:id="122"/>
      <w:bookmarkEnd w:id="123"/>
      <w:bookmarkEnd w:id="124"/>
    </w:p>
    <w:p w14:paraId="79898AAF" w14:textId="77777777" w:rsidR="00A45B03" w:rsidRPr="003A2D7C" w:rsidRDefault="00A45B03" w:rsidP="00A45B03">
      <w:pPr>
        <w:rPr>
          <w:color w:val="6ABD92"/>
          <w:sz w:val="22"/>
          <w:szCs w:val="22"/>
        </w:rPr>
      </w:pPr>
      <w:bookmarkStart w:id="125" w:name="_Toc18488530"/>
      <w:bookmarkStart w:id="126" w:name="_Toc30071631"/>
      <w:r w:rsidRPr="003A2D7C">
        <w:rPr>
          <w:color w:val="6ABD92"/>
          <w:sz w:val="22"/>
          <w:szCs w:val="22"/>
        </w:rPr>
        <w:t>Uitsluiting van juridische aansprakelijkheid</w:t>
      </w:r>
      <w:bookmarkEnd w:id="125"/>
      <w:bookmarkEnd w:id="126"/>
    </w:p>
    <w:p w14:paraId="2C9A5CC1" w14:textId="77777777" w:rsidR="00A45B03" w:rsidRDefault="00A45B03" w:rsidP="00A45B03">
      <w:r w:rsidRPr="00D670A8">
        <w:t xml:space="preserve">Hoewel de informatie in dit rapport afkomstig is van betrouwbare bronnen en exceptionele zorgvuldigheid is betracht tijdens het samenstellen van deze rapportage kunnen De Duurzame Adviseurs geen </w:t>
      </w:r>
      <w:r>
        <w:t xml:space="preserve">juridische </w:t>
      </w:r>
      <w:r w:rsidRPr="00D670A8">
        <w:t>aans</w:t>
      </w:r>
      <w:r>
        <w:t>prakelijkheid aanvaarden</w:t>
      </w:r>
      <w:r w:rsidRPr="00D670A8">
        <w:t xml:space="preserve"> voor f</w:t>
      </w:r>
      <w:r>
        <w:t>outen</w:t>
      </w:r>
      <w:r w:rsidR="00C3545D">
        <w:t xml:space="preserve"> en</w:t>
      </w:r>
      <w:r>
        <w:t xml:space="preserve"> onnauwkeurigheden</w:t>
      </w:r>
      <w:r w:rsidRPr="00D670A8">
        <w:t>, ongeacht de oorzaak</w:t>
      </w:r>
      <w:r>
        <w:t xml:space="preserve"> daarvan </w:t>
      </w:r>
      <w:r w:rsidRPr="00D670A8">
        <w:t>en voor schade als gevolg daa</w:t>
      </w:r>
      <w:r>
        <w:t xml:space="preserve">rvan. De borging en uitvoering van de opgestelde doelen en maatregelen </w:t>
      </w:r>
      <w:r w:rsidRPr="00D670A8">
        <w:t>aanwezig in dit rapport</w:t>
      </w:r>
      <w:r>
        <w:t xml:space="preserve"> liggen bij de verantwoordelijkheid van de opdrachtgever. Voor het niet behalen van doelen en/of het onjuist aanleveren van data door de opdrachtgever, kunnen De Duurzame Adviseurs niet aansprakelijk worden gesteld.</w:t>
      </w:r>
    </w:p>
    <w:p w14:paraId="38E51149" w14:textId="77777777" w:rsidR="00A45B03" w:rsidRDefault="00A45B03" w:rsidP="00A45B03"/>
    <w:p w14:paraId="46D4E7B3" w14:textId="77777777" w:rsidR="00A45B03" w:rsidRDefault="00A45B03" w:rsidP="00A45B03">
      <w:r w:rsidRPr="00D670A8">
        <w:t>In geen enkel geval zijn De Duurzame Adviseurs, haar eigenaren en/of medewerkers aansprakelijk ten aanzien van indirecte, immateriële of gevolgschade met inbegrip van gederfde winst of inkomsten en verlies van contracten of orders.</w:t>
      </w:r>
    </w:p>
    <w:p w14:paraId="70C9911F" w14:textId="77777777" w:rsidR="00A45B03" w:rsidRDefault="00A45B03" w:rsidP="00A45B03"/>
    <w:p w14:paraId="7FD13CF5" w14:textId="77777777" w:rsidR="00A45B03" w:rsidRPr="003A2D7C" w:rsidRDefault="00A45B03" w:rsidP="00A45B03">
      <w:pPr>
        <w:rPr>
          <w:color w:val="6ABD92"/>
          <w:sz w:val="22"/>
          <w:szCs w:val="22"/>
        </w:rPr>
      </w:pPr>
      <w:bookmarkStart w:id="127" w:name="_Toc30071632"/>
      <w:r w:rsidRPr="003A2D7C">
        <w:rPr>
          <w:color w:val="6ABD92"/>
          <w:sz w:val="22"/>
          <w:szCs w:val="22"/>
        </w:rPr>
        <w:t>Bescherming intellectueel eigendom</w:t>
      </w:r>
      <w:bookmarkEnd w:id="127"/>
    </w:p>
    <w:p w14:paraId="191C7606" w14:textId="6A008B8D" w:rsidR="00A45B03" w:rsidRPr="005C0D61" w:rsidRDefault="00A45B03" w:rsidP="00A45B03">
      <w:pPr>
        <w:rPr>
          <w:rFonts w:cs="Verdana"/>
        </w:rPr>
      </w:pPr>
      <w:r>
        <w:rPr>
          <w:rFonts w:cs="Verdana"/>
        </w:rPr>
        <w:t>Het auteursrecht op dit document berust bij De Duurzame Adviseurs of bij derden welke bij toestemming deze documentatie beschikbaar hebbe</w:t>
      </w:r>
      <w:r w:rsidRPr="005C0D61">
        <w:rPr>
          <w:rFonts w:cs="Verdana"/>
        </w:rPr>
        <w:t xml:space="preserve">n gesteld aan </w:t>
      </w:r>
      <w:r w:rsidR="007979D5">
        <w:t>Finovi B.V.</w:t>
      </w:r>
      <w:r w:rsidRPr="005C0D61">
        <w:rPr>
          <w:rFonts w:cs="Verdana"/>
        </w:rPr>
        <w:t xml:space="preserve"> </w:t>
      </w:r>
    </w:p>
    <w:p w14:paraId="73E870C2" w14:textId="77777777" w:rsidR="00A45B03" w:rsidRPr="005C0D61" w:rsidRDefault="00A45B03" w:rsidP="00A45B03">
      <w:pPr>
        <w:rPr>
          <w:rFonts w:cs="Verdana"/>
        </w:rPr>
      </w:pPr>
      <w:r w:rsidRPr="005C0D61">
        <w:rPr>
          <w:rFonts w:cs="Verdana"/>
        </w:rPr>
        <w:t>Vermenigvuldiging in wat voor vorm dan ook is alleen toegestaan door voorafgaande toestemming door De Duurzame Adviseurs.</w:t>
      </w:r>
    </w:p>
    <w:p w14:paraId="373AC59A" w14:textId="77777777" w:rsidR="00A45B03" w:rsidRPr="005C0D61" w:rsidRDefault="00A45B03" w:rsidP="00A45B03">
      <w:pPr>
        <w:rPr>
          <w:rFonts w:cs="Verdana"/>
        </w:rPr>
      </w:pPr>
    </w:p>
    <w:p w14:paraId="64BB79FD" w14:textId="77777777" w:rsidR="00A45B03" w:rsidRPr="005C0D61" w:rsidRDefault="00A45B03" w:rsidP="00A45B03">
      <w:pPr>
        <w:spacing w:line="276" w:lineRule="auto"/>
        <w:rPr>
          <w:rFonts w:cs="Verdana"/>
          <w:sz w:val="22"/>
          <w:szCs w:val="22"/>
        </w:rPr>
      </w:pPr>
      <w:r w:rsidRPr="005C0D61">
        <w:rPr>
          <w:rFonts w:cs="Verdana"/>
          <w:sz w:val="22"/>
          <w:szCs w:val="22"/>
        </w:rPr>
        <w:t>Ondertekening</w:t>
      </w:r>
    </w:p>
    <w:p w14:paraId="0743BEF9" w14:textId="09E10178" w:rsidR="00A45B03" w:rsidRPr="005C0D61" w:rsidRDefault="00A45B03" w:rsidP="00A45B03">
      <w:pPr>
        <w:spacing w:line="276" w:lineRule="auto"/>
        <w:jc w:val="left"/>
      </w:pPr>
      <w:r w:rsidRPr="005C0D61">
        <w:t>Auteur(s):</w:t>
      </w:r>
      <w:r w:rsidRPr="005C0D61">
        <w:tab/>
      </w:r>
      <w:r w:rsidRPr="005C0D61">
        <w:tab/>
      </w:r>
      <w:r w:rsidRPr="005C0D61">
        <w:tab/>
      </w:r>
      <w:r w:rsidRPr="005C0D61">
        <w:tab/>
      </w:r>
      <w:r w:rsidR="005C0D61" w:rsidRPr="005C0D61">
        <w:t>Guus de Jong</w:t>
      </w:r>
      <w:r w:rsidRPr="005C0D61">
        <w:t>,</w:t>
      </w:r>
      <w:r w:rsidR="00F43CB9" w:rsidRPr="005C0D61">
        <w:t xml:space="preserve"> </w:t>
      </w:r>
      <w:r w:rsidRPr="005C0D61">
        <w:t>De Duurzame Adviseurs</w:t>
      </w:r>
    </w:p>
    <w:p w14:paraId="4D0204B0" w14:textId="532846E6" w:rsidR="00A45B03" w:rsidRPr="005C0D61" w:rsidRDefault="00A45B03" w:rsidP="00A45B03">
      <w:pPr>
        <w:spacing w:line="276" w:lineRule="auto"/>
      </w:pPr>
      <w:r w:rsidRPr="005C0D61">
        <w:t>Kenmerk:</w:t>
      </w:r>
      <w:r w:rsidRPr="005C0D61">
        <w:tab/>
      </w:r>
      <w:r w:rsidRPr="005C0D61">
        <w:tab/>
      </w:r>
      <w:r w:rsidRPr="005C0D61">
        <w:tab/>
      </w:r>
      <w:r w:rsidRPr="005C0D61">
        <w:tab/>
      </w:r>
      <w:r w:rsidR="00D41B4C" w:rsidRPr="005C0D61">
        <w:t>CO</w:t>
      </w:r>
      <w:r w:rsidR="00D41B4C" w:rsidRPr="005C0D61">
        <w:rPr>
          <w:vertAlign w:val="subscript"/>
        </w:rPr>
        <w:t>2</w:t>
      </w:r>
      <w:r w:rsidR="00D41B4C" w:rsidRPr="005C0D61">
        <w:t xml:space="preserve">-Prestatieladder </w:t>
      </w:r>
      <w:r w:rsidR="00D2581B" w:rsidRPr="005C0D61">
        <w:t>V</w:t>
      </w:r>
      <w:r w:rsidR="00D41B4C" w:rsidRPr="005C0D61">
        <w:t>erslag 20</w:t>
      </w:r>
      <w:r w:rsidR="005C0D61" w:rsidRPr="005C0D61">
        <w:t>2</w:t>
      </w:r>
      <w:r w:rsidR="00496919">
        <w:t>5</w:t>
      </w:r>
    </w:p>
    <w:p w14:paraId="617AB08C" w14:textId="4456F811" w:rsidR="00A45B03" w:rsidRPr="0072636A" w:rsidRDefault="00A45B03" w:rsidP="00A45B03">
      <w:pPr>
        <w:spacing w:line="276" w:lineRule="auto"/>
      </w:pPr>
      <w:r w:rsidRPr="0072636A">
        <w:t>Datum</w:t>
      </w:r>
      <w:r w:rsidR="00C501D6" w:rsidRPr="0072636A">
        <w:t xml:space="preserve"> ondertekening</w:t>
      </w:r>
      <w:r w:rsidRPr="0072636A">
        <w:t>:</w:t>
      </w:r>
      <w:r w:rsidRPr="0072636A">
        <w:tab/>
      </w:r>
      <w:r w:rsidRPr="0072636A">
        <w:tab/>
      </w:r>
      <w:r w:rsidR="00DB6875">
        <w:t>21</w:t>
      </w:r>
      <w:r w:rsidR="009750EB" w:rsidRPr="0072636A">
        <w:t>-0</w:t>
      </w:r>
      <w:r w:rsidR="00DB6875">
        <w:t>5</w:t>
      </w:r>
      <w:r w:rsidR="009750EB" w:rsidRPr="0072636A">
        <w:t>-202</w:t>
      </w:r>
      <w:r w:rsidR="00496919">
        <w:t>6</w:t>
      </w:r>
    </w:p>
    <w:p w14:paraId="3AD3D82E" w14:textId="2C9190DE" w:rsidR="00A45B03" w:rsidRPr="00EF351C" w:rsidRDefault="664E45EE" w:rsidP="00A45B03">
      <w:pPr>
        <w:spacing w:line="276" w:lineRule="auto"/>
        <w:rPr>
          <w:color w:val="ED7D31" w:themeColor="accent2"/>
        </w:rPr>
      </w:pPr>
      <w:r w:rsidRPr="0072636A">
        <w:t>Verantwoordelijke</w:t>
      </w:r>
      <w:proofErr w:type="gramStart"/>
      <w:r w:rsidR="00A45B03" w:rsidRPr="0072636A">
        <w:tab/>
      </w:r>
      <w:r w:rsidRPr="0072636A">
        <w:t>:</w:t>
      </w:r>
      <w:r w:rsidR="00A45B03" w:rsidRPr="0072636A">
        <w:t>￼</w:t>
      </w:r>
      <w:proofErr w:type="gramEnd"/>
      <w:r w:rsidRPr="0072636A">
        <w:tab/>
      </w:r>
      <w:r>
        <w:tab/>
      </w:r>
      <w:r w:rsidR="35892364">
        <w:t xml:space="preserve">J. </w:t>
      </w:r>
      <w:r w:rsidR="00B04AEC" w:rsidRPr="00B04AEC">
        <w:t>Tiebosch</w:t>
      </w:r>
    </w:p>
    <w:p w14:paraId="4B065FE4" w14:textId="676F5323" w:rsidR="006C2E3E" w:rsidRPr="00BA3E48" w:rsidRDefault="00E879A6">
      <w:r w:rsidRPr="00E879A6">
        <w:rPr>
          <w:noProof/>
          <w:color w:val="ED7D31" w:themeColor="accent2"/>
        </w:rPr>
        <w:drawing>
          <wp:anchor distT="0" distB="0" distL="114300" distR="114300" simplePos="0" relativeHeight="251658241" behindDoc="1" locked="0" layoutInCell="1" allowOverlap="1" wp14:anchorId="4B2206B1" wp14:editId="1915D399">
            <wp:simplePos x="0" y="0"/>
            <wp:positionH relativeFrom="column">
              <wp:posOffset>42545</wp:posOffset>
            </wp:positionH>
            <wp:positionV relativeFrom="paragraph">
              <wp:posOffset>55245</wp:posOffset>
            </wp:positionV>
            <wp:extent cx="1565910" cy="784225"/>
            <wp:effectExtent l="0" t="0" r="0" b="0"/>
            <wp:wrapNone/>
            <wp:docPr id="811280359" name="Picture 81128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65910" cy="784225"/>
                    </a:xfrm>
                    <a:prstGeom prst="rect">
                      <a:avLst/>
                    </a:prstGeom>
                  </pic:spPr>
                </pic:pic>
              </a:graphicData>
            </a:graphic>
            <wp14:sizeRelH relativeFrom="page">
              <wp14:pctWidth>0</wp14:pctWidth>
            </wp14:sizeRelH>
            <wp14:sizeRelV relativeFrom="page">
              <wp14:pctHeight>0</wp14:pctHeight>
            </wp14:sizeRelV>
          </wp:anchor>
        </w:drawing>
      </w:r>
      <w:r w:rsidR="002C13CF">
        <w:br w:type="page"/>
      </w:r>
    </w:p>
    <w:p w14:paraId="4E9985A5" w14:textId="77777777" w:rsidR="006C2E3E" w:rsidRPr="00BA3E48" w:rsidRDefault="00DF3E2B" w:rsidP="00DF3E2B">
      <w:pPr>
        <w:pStyle w:val="Kop1"/>
        <w:numPr>
          <w:ilvl w:val="0"/>
          <w:numId w:val="0"/>
        </w:numPr>
        <w:ind w:left="432" w:hanging="432"/>
      </w:pPr>
      <w:bookmarkStart w:id="128" w:name="_Toc118736253"/>
      <w:bookmarkStart w:id="129" w:name="_Toc142472146"/>
      <w:r w:rsidRPr="00BA3E48">
        <w:lastRenderedPageBreak/>
        <w:t>Bijlagen</w:t>
      </w:r>
      <w:bookmarkEnd w:id="128"/>
      <w:bookmarkEnd w:id="129"/>
    </w:p>
    <w:p w14:paraId="72A8E048" w14:textId="77777777" w:rsidR="00DF3E2B" w:rsidRPr="00BA3E48" w:rsidRDefault="00DF3E2B" w:rsidP="00DF3E2B"/>
    <w:p w14:paraId="53B12616" w14:textId="77777777" w:rsidR="00DF3E2B" w:rsidRPr="00A75273" w:rsidRDefault="00DF3E2B" w:rsidP="00DF3E2B">
      <w:pPr>
        <w:pStyle w:val="Kop2"/>
        <w:numPr>
          <w:ilvl w:val="0"/>
          <w:numId w:val="0"/>
        </w:numPr>
        <w:ind w:left="576" w:hanging="576"/>
      </w:pPr>
      <w:bookmarkStart w:id="130" w:name="_Toc118736254"/>
      <w:bookmarkStart w:id="131" w:name="_Toc142472147"/>
      <w:r w:rsidRPr="00A75273">
        <w:t xml:space="preserve">Bijlage A – </w:t>
      </w:r>
      <w:proofErr w:type="spellStart"/>
      <w:r w:rsidRPr="00A75273">
        <w:t>Organizational</w:t>
      </w:r>
      <w:proofErr w:type="spellEnd"/>
      <w:r w:rsidRPr="00A75273">
        <w:t xml:space="preserve"> </w:t>
      </w:r>
      <w:proofErr w:type="spellStart"/>
      <w:r w:rsidRPr="00A75273">
        <w:t>boundary</w:t>
      </w:r>
      <w:bookmarkEnd w:id="130"/>
      <w:bookmarkEnd w:id="131"/>
      <w:proofErr w:type="spellEnd"/>
    </w:p>
    <w:p w14:paraId="4B3A1597" w14:textId="23C1C7A6" w:rsidR="00533060" w:rsidRPr="0038502A" w:rsidRDefault="00533060" w:rsidP="00533060">
      <w:pPr>
        <w:rPr>
          <w:b/>
          <w:bCs/>
        </w:rPr>
      </w:pPr>
    </w:p>
    <w:p w14:paraId="56316521" w14:textId="77777777" w:rsidR="00E00367" w:rsidRPr="00533060" w:rsidRDefault="00E00367" w:rsidP="00E00367"/>
    <w:p w14:paraId="400199C0" w14:textId="6E37F920" w:rsidR="001B358C" w:rsidRPr="0072636A" w:rsidRDefault="001B358C" w:rsidP="001B358C">
      <w:r w:rsidRPr="0072636A">
        <w:t xml:space="preserve">De </w:t>
      </w:r>
      <w:proofErr w:type="spellStart"/>
      <w:r w:rsidRPr="0072636A">
        <w:t>organizational</w:t>
      </w:r>
      <w:proofErr w:type="spellEnd"/>
      <w:r w:rsidRPr="0072636A">
        <w:t xml:space="preserve"> </w:t>
      </w:r>
      <w:proofErr w:type="spellStart"/>
      <w:r w:rsidRPr="0072636A">
        <w:t>boundary</w:t>
      </w:r>
      <w:proofErr w:type="spellEnd"/>
      <w:r w:rsidRPr="0072636A">
        <w:t xml:space="preserve"> is opgesteld volgens de eisen van </w:t>
      </w:r>
      <w:proofErr w:type="spellStart"/>
      <w:r w:rsidRPr="0072636A">
        <w:rPr>
          <w:i/>
          <w:iCs/>
        </w:rPr>
        <w:t>Greenhouse</w:t>
      </w:r>
      <w:proofErr w:type="spellEnd"/>
      <w:r w:rsidRPr="0072636A">
        <w:rPr>
          <w:i/>
          <w:iCs/>
        </w:rPr>
        <w:t xml:space="preserve"> Gas Protocol – A Corporate Accounting </w:t>
      </w:r>
      <w:proofErr w:type="spellStart"/>
      <w:r w:rsidRPr="0072636A">
        <w:rPr>
          <w:i/>
          <w:iCs/>
        </w:rPr>
        <w:t>and</w:t>
      </w:r>
      <w:proofErr w:type="spellEnd"/>
      <w:r w:rsidRPr="0072636A">
        <w:rPr>
          <w:i/>
          <w:iCs/>
        </w:rPr>
        <w:t xml:space="preserve"> Reporting Standard:2004, hoofdstuk 3</w:t>
      </w:r>
      <w:r w:rsidRPr="0072636A">
        <w:t xml:space="preserve">, zoals beschreven in </w:t>
      </w:r>
      <w:r w:rsidRPr="0072636A">
        <w:rPr>
          <w:i/>
          <w:iCs/>
        </w:rPr>
        <w:t>Handboek CO</w:t>
      </w:r>
      <w:r w:rsidRPr="0072636A">
        <w:rPr>
          <w:i/>
          <w:iCs/>
          <w:vertAlign w:val="subscript"/>
        </w:rPr>
        <w:t>2</w:t>
      </w:r>
      <w:r w:rsidRPr="0072636A">
        <w:rPr>
          <w:i/>
          <w:iCs/>
        </w:rPr>
        <w:t>-Prestatieladder 3.1, hoofdstuk 4.</w:t>
      </w:r>
      <w:r w:rsidRPr="0072636A">
        <w:t xml:space="preserve"> De control benadering is hierbij toegepast. </w:t>
      </w:r>
    </w:p>
    <w:p w14:paraId="187430C5" w14:textId="77777777" w:rsidR="00301F2C" w:rsidRPr="0072636A" w:rsidRDefault="00301F2C" w:rsidP="001B358C"/>
    <w:p w14:paraId="3C7FBD20" w14:textId="77777777" w:rsidR="00C973DD" w:rsidRPr="0072636A" w:rsidRDefault="00C973DD" w:rsidP="00C973DD">
      <w:pPr>
        <w:pStyle w:val="Kop3"/>
        <w:numPr>
          <w:ilvl w:val="0"/>
          <w:numId w:val="0"/>
        </w:numPr>
        <w:ind w:left="720" w:hanging="720"/>
        <w:rPr>
          <w:color w:val="auto"/>
        </w:rPr>
      </w:pPr>
      <w:bookmarkStart w:id="132" w:name="_Toc118736259"/>
      <w:bookmarkStart w:id="133" w:name="_Toc142472152"/>
      <w:r w:rsidRPr="0072636A">
        <w:rPr>
          <w:color w:val="auto"/>
        </w:rPr>
        <w:t>KvK uittreksel</w:t>
      </w:r>
      <w:bookmarkEnd w:id="132"/>
      <w:bookmarkEnd w:id="133"/>
    </w:p>
    <w:p w14:paraId="0B873A03" w14:textId="7FDFE700" w:rsidR="004108A3" w:rsidRPr="00E879A6" w:rsidRDefault="004108A3" w:rsidP="004108A3">
      <w:pPr>
        <w:rPr>
          <w:color w:val="ED7D31" w:themeColor="accent2"/>
        </w:rPr>
      </w:pPr>
      <w:r w:rsidRPr="0072636A">
        <w:t xml:space="preserve">Het startpunt van de </w:t>
      </w:r>
      <w:proofErr w:type="spellStart"/>
      <w:r w:rsidRPr="0072636A">
        <w:t>organizational</w:t>
      </w:r>
      <w:proofErr w:type="spellEnd"/>
      <w:r w:rsidRPr="0072636A">
        <w:t xml:space="preserve"> </w:t>
      </w:r>
      <w:proofErr w:type="spellStart"/>
      <w:r w:rsidRPr="0072636A">
        <w:t>boundary</w:t>
      </w:r>
      <w:proofErr w:type="spellEnd"/>
      <w:r w:rsidRPr="0072636A">
        <w:t xml:space="preserve"> is de juridische entiteit op de hoogste top van de </w:t>
      </w:r>
      <w:proofErr w:type="spellStart"/>
      <w:r w:rsidRPr="0072636A">
        <w:t>hiërachie</w:t>
      </w:r>
      <w:proofErr w:type="spellEnd"/>
      <w:r w:rsidR="00DF3925" w:rsidRPr="0072636A">
        <w:t xml:space="preserve">, namelijk </w:t>
      </w:r>
      <w:r w:rsidR="479ACA1C" w:rsidRPr="0072636A">
        <w:t>Finovi</w:t>
      </w:r>
      <w:r w:rsidR="00B37A3C" w:rsidRPr="0072636A">
        <w:t xml:space="preserve"> Holding B.V.</w:t>
      </w:r>
      <w:r w:rsidR="00DF3925" w:rsidRPr="0072636A">
        <w:t xml:space="preserve"> </w:t>
      </w:r>
      <w:r w:rsidRPr="0072636A">
        <w:t>Vanuit de KvK wordt duidelijk dat het volledige concern er als volgt uitziet</w:t>
      </w:r>
      <w:r w:rsidRPr="00E879A6">
        <w:rPr>
          <w:color w:val="ED7D31" w:themeColor="accent2"/>
        </w:rPr>
        <w:t>:</w:t>
      </w:r>
    </w:p>
    <w:p w14:paraId="56985948" w14:textId="77777777" w:rsidR="006B41EA" w:rsidRPr="00B37A3C" w:rsidRDefault="006B41EA" w:rsidP="004108A3"/>
    <w:p w14:paraId="5DC94035" w14:textId="1DB6B530" w:rsidR="004108A3" w:rsidRDefault="6AB86314" w:rsidP="004108A3">
      <w:r>
        <w:rPr>
          <w:noProof/>
        </w:rPr>
        <w:drawing>
          <wp:inline distT="0" distB="0" distL="0" distR="0" wp14:anchorId="692747A6" wp14:editId="47680BDC">
            <wp:extent cx="5306348" cy="2990850"/>
            <wp:effectExtent l="0" t="0" r="0" b="0"/>
            <wp:docPr id="1675910392" name="Picture 167591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306348" cy="2990850"/>
                    </a:xfrm>
                    <a:prstGeom prst="rect">
                      <a:avLst/>
                    </a:prstGeom>
                  </pic:spPr>
                </pic:pic>
              </a:graphicData>
            </a:graphic>
          </wp:inline>
        </w:drawing>
      </w:r>
    </w:p>
    <w:p w14:paraId="3E13A3B7" w14:textId="079713E0" w:rsidR="00DF3925" w:rsidRDefault="00DF3925" w:rsidP="00DF3925"/>
    <w:p w14:paraId="4C9BE3DD" w14:textId="77777777" w:rsidR="006B41EA" w:rsidRDefault="006B41EA" w:rsidP="00DF3925">
      <w:pPr>
        <w:rPr>
          <w:color w:val="ED7D31" w:themeColor="accent2"/>
        </w:rPr>
      </w:pPr>
    </w:p>
    <w:p w14:paraId="69909946" w14:textId="77777777" w:rsidR="006B41EA" w:rsidRDefault="006B41EA" w:rsidP="00DF3925">
      <w:pPr>
        <w:rPr>
          <w:color w:val="ED7D31" w:themeColor="accent2"/>
        </w:rPr>
      </w:pPr>
    </w:p>
    <w:p w14:paraId="127C8334" w14:textId="77777777" w:rsidR="00DF3925" w:rsidRDefault="00DF3925" w:rsidP="00DF3925">
      <w:pPr>
        <w:pStyle w:val="Kop3"/>
        <w:numPr>
          <w:ilvl w:val="0"/>
          <w:numId w:val="0"/>
        </w:numPr>
        <w:ind w:left="720" w:hanging="720"/>
      </w:pPr>
      <w:bookmarkStart w:id="134" w:name="_Toc118736260"/>
      <w:bookmarkStart w:id="135" w:name="_Toc142472153"/>
      <w:r>
        <w:t>Toepassing van GHG Protocol</w:t>
      </w:r>
      <w:bookmarkEnd w:id="134"/>
      <w:bookmarkEnd w:id="135"/>
    </w:p>
    <w:p w14:paraId="4DC22A45" w14:textId="379FE6E0" w:rsidR="00DF3925" w:rsidRPr="0072636A" w:rsidRDefault="00DF3925" w:rsidP="00156C2B">
      <w:r w:rsidRPr="0072636A">
        <w:t>Vervolgens is de control benadering toegepast. Hier zijn de volgende conclusies uit voortgekomen over het toewijzen van CO</w:t>
      </w:r>
      <w:r w:rsidRPr="0072636A">
        <w:rPr>
          <w:vertAlign w:val="subscript"/>
        </w:rPr>
        <w:t>2</w:t>
      </w:r>
      <w:r w:rsidRPr="0072636A">
        <w:t>-emissies aan de organisatie:</w:t>
      </w:r>
    </w:p>
    <w:p w14:paraId="2CDC84BD" w14:textId="77777777" w:rsidR="00DF3925" w:rsidRPr="0072636A" w:rsidRDefault="00DF3925" w:rsidP="00DF3925"/>
    <w:p w14:paraId="3B50356D" w14:textId="310EC194" w:rsidR="00B37A3C" w:rsidRPr="0072636A" w:rsidRDefault="006F674F" w:rsidP="31AD926C">
      <w:pPr>
        <w:pStyle w:val="Lijstalinea"/>
        <w:numPr>
          <w:ilvl w:val="0"/>
          <w:numId w:val="35"/>
        </w:numPr>
      </w:pPr>
      <w:r w:rsidRPr="0072636A">
        <w:t>Finovi</w:t>
      </w:r>
      <w:r w:rsidR="00B37A3C" w:rsidRPr="0072636A">
        <w:t xml:space="preserve"> Holding B.V. - De </w:t>
      </w:r>
      <w:proofErr w:type="spellStart"/>
      <w:r w:rsidR="00B37A3C" w:rsidRPr="0072636A">
        <w:t>Leijerweg</w:t>
      </w:r>
      <w:proofErr w:type="spellEnd"/>
      <w:r w:rsidR="00B37A3C" w:rsidRPr="0072636A">
        <w:t xml:space="preserve"> 6A, 5491TK Sint-Oedenrode - KvK-nummer: 75204</w:t>
      </w:r>
      <w:r w:rsidR="00FA3980" w:rsidRPr="0072636A">
        <w:t>6</w:t>
      </w:r>
      <w:r w:rsidR="00B37A3C" w:rsidRPr="0072636A">
        <w:t>49 – 100%</w:t>
      </w:r>
    </w:p>
    <w:p w14:paraId="662FE134" w14:textId="77777777" w:rsidR="00B37A3C" w:rsidRPr="0072636A" w:rsidRDefault="00B37A3C" w:rsidP="00B37A3C"/>
    <w:p w14:paraId="0F1E66B3" w14:textId="5D38E9FC" w:rsidR="00B37A3C" w:rsidRPr="0072636A" w:rsidRDefault="007979D5" w:rsidP="00523A24">
      <w:pPr>
        <w:numPr>
          <w:ilvl w:val="0"/>
          <w:numId w:val="17"/>
        </w:numPr>
        <w:rPr>
          <w:lang w:val="nb-NO"/>
        </w:rPr>
      </w:pPr>
      <w:r w:rsidRPr="0072636A">
        <w:rPr>
          <w:lang w:val="nb-NO"/>
        </w:rPr>
        <w:t>Finovi B.V.</w:t>
      </w:r>
      <w:r w:rsidR="00B37A3C" w:rsidRPr="0072636A">
        <w:rPr>
          <w:lang w:val="nb-NO"/>
        </w:rPr>
        <w:t xml:space="preserve"> - </w:t>
      </w:r>
      <w:r w:rsidR="00B37A3C" w:rsidRPr="0072636A">
        <w:t xml:space="preserve">De </w:t>
      </w:r>
      <w:proofErr w:type="spellStart"/>
      <w:r w:rsidR="00B37A3C" w:rsidRPr="0072636A">
        <w:t>Leijerweg</w:t>
      </w:r>
      <w:proofErr w:type="spellEnd"/>
      <w:r w:rsidR="00B37A3C" w:rsidRPr="0072636A">
        <w:t xml:space="preserve"> 6A, 5491TK Sint-Oedenrode -  </w:t>
      </w:r>
      <w:r w:rsidR="00B37A3C" w:rsidRPr="0072636A">
        <w:rPr>
          <w:lang w:val="nb-NO"/>
        </w:rPr>
        <w:t>KvK-nummer: 56877781 – 100%</w:t>
      </w:r>
    </w:p>
    <w:p w14:paraId="76F7061E" w14:textId="77777777" w:rsidR="00B37A3C" w:rsidRPr="0072636A" w:rsidRDefault="00B37A3C" w:rsidP="00B37A3C">
      <w:pPr>
        <w:ind w:left="720"/>
        <w:rPr>
          <w:lang w:val="nb-NO"/>
        </w:rPr>
      </w:pPr>
    </w:p>
    <w:p w14:paraId="1C569B2D" w14:textId="01C204D7" w:rsidR="00B37A3C" w:rsidRPr="0072636A" w:rsidRDefault="00FA3980" w:rsidP="00523A24">
      <w:pPr>
        <w:numPr>
          <w:ilvl w:val="0"/>
          <w:numId w:val="17"/>
        </w:numPr>
        <w:rPr>
          <w:lang w:val="nb-NO"/>
        </w:rPr>
      </w:pPr>
      <w:r w:rsidRPr="0072636A">
        <w:rPr>
          <w:lang w:val="nb-NO"/>
        </w:rPr>
        <w:t>Finovi</w:t>
      </w:r>
      <w:r w:rsidR="00B37A3C" w:rsidRPr="0072636A">
        <w:rPr>
          <w:lang w:val="nb-NO"/>
        </w:rPr>
        <w:t xml:space="preserve"> Service &amp; Onderhoud - De Leijerweg 6A, 5491TK Sint-Oedenrode - KvK-nummer: 75669684 - 100%</w:t>
      </w:r>
    </w:p>
    <w:p w14:paraId="2D11AFED" w14:textId="77777777" w:rsidR="00DF3925" w:rsidRPr="00E879A6" w:rsidRDefault="00DF3925" w:rsidP="00DF3925">
      <w:pPr>
        <w:rPr>
          <w:color w:val="ED7D31" w:themeColor="accent2"/>
          <w:lang w:val="nb-NO"/>
        </w:rPr>
      </w:pPr>
    </w:p>
    <w:p w14:paraId="1A96E985" w14:textId="77777777" w:rsidR="00603724" w:rsidRPr="000259D7" w:rsidRDefault="00603724" w:rsidP="00603724">
      <w:pPr>
        <w:pStyle w:val="Kop3"/>
        <w:numPr>
          <w:ilvl w:val="0"/>
          <w:numId w:val="0"/>
        </w:numPr>
        <w:ind w:left="720" w:hanging="720"/>
      </w:pPr>
      <w:bookmarkStart w:id="136" w:name="_Toc118736261"/>
      <w:bookmarkStart w:id="137" w:name="_Toc142472154"/>
      <w:r>
        <w:t xml:space="preserve">Vaststelling van de </w:t>
      </w:r>
      <w:proofErr w:type="spellStart"/>
      <w:r>
        <w:t>organizational</w:t>
      </w:r>
      <w:proofErr w:type="spellEnd"/>
      <w:r>
        <w:t xml:space="preserve"> </w:t>
      </w:r>
      <w:proofErr w:type="spellStart"/>
      <w:r>
        <w:t>boundary</w:t>
      </w:r>
      <w:bookmarkEnd w:id="136"/>
      <w:bookmarkEnd w:id="137"/>
      <w:proofErr w:type="spellEnd"/>
    </w:p>
    <w:p w14:paraId="2A8965AA" w14:textId="77777777" w:rsidR="00603724" w:rsidRDefault="00603724" w:rsidP="00603724">
      <w:r>
        <w:t xml:space="preserve">De </w:t>
      </w:r>
      <w:proofErr w:type="spellStart"/>
      <w:r>
        <w:t>organizational</w:t>
      </w:r>
      <w:proofErr w:type="spellEnd"/>
      <w:r>
        <w:t xml:space="preserve"> </w:t>
      </w:r>
      <w:proofErr w:type="spellStart"/>
      <w:r>
        <w:t>boundary</w:t>
      </w:r>
      <w:proofErr w:type="spellEnd"/>
      <w:r>
        <w:t xml:space="preserve"> zoals deze op het certificaat wordt vermeld is als volgt:</w:t>
      </w:r>
    </w:p>
    <w:p w14:paraId="16AC7E25" w14:textId="77777777" w:rsidR="00B37A3C" w:rsidRPr="0072636A" w:rsidRDefault="00B37A3C" w:rsidP="00603724"/>
    <w:p w14:paraId="063880B1" w14:textId="290EAC62" w:rsidR="003A144E" w:rsidRPr="0072636A" w:rsidRDefault="003A144E" w:rsidP="31AD926C">
      <w:pPr>
        <w:pStyle w:val="Lijstalinea"/>
        <w:numPr>
          <w:ilvl w:val="0"/>
          <w:numId w:val="34"/>
        </w:numPr>
      </w:pPr>
      <w:r w:rsidRPr="0072636A">
        <w:t xml:space="preserve">Finovi Holding B.V. - De </w:t>
      </w:r>
      <w:proofErr w:type="spellStart"/>
      <w:r w:rsidRPr="0072636A">
        <w:t>Leijerweg</w:t>
      </w:r>
      <w:proofErr w:type="spellEnd"/>
      <w:r w:rsidRPr="0072636A">
        <w:t xml:space="preserve"> 6A, 5491TK Sint-Oedenrode - KvK-nummer: 75204649 – 100%</w:t>
      </w:r>
    </w:p>
    <w:p w14:paraId="40ADC1DE" w14:textId="77777777" w:rsidR="003A144E" w:rsidRPr="0072636A" w:rsidRDefault="003A144E" w:rsidP="003A144E"/>
    <w:p w14:paraId="64F34AFF" w14:textId="77777777" w:rsidR="003A144E" w:rsidRPr="0072636A" w:rsidRDefault="003A144E" w:rsidP="00523A24">
      <w:pPr>
        <w:numPr>
          <w:ilvl w:val="0"/>
          <w:numId w:val="17"/>
        </w:numPr>
        <w:rPr>
          <w:lang w:val="nb-NO"/>
        </w:rPr>
      </w:pPr>
      <w:r w:rsidRPr="0072636A">
        <w:rPr>
          <w:lang w:val="nb-NO"/>
        </w:rPr>
        <w:t xml:space="preserve">Finovi B.V. - </w:t>
      </w:r>
      <w:r w:rsidRPr="0072636A">
        <w:t xml:space="preserve">De </w:t>
      </w:r>
      <w:proofErr w:type="spellStart"/>
      <w:r w:rsidRPr="0072636A">
        <w:t>Leijerweg</w:t>
      </w:r>
      <w:proofErr w:type="spellEnd"/>
      <w:r w:rsidRPr="0072636A">
        <w:t xml:space="preserve"> 6A, 5491TK Sint-Oedenrode -  </w:t>
      </w:r>
      <w:r w:rsidRPr="0072636A">
        <w:rPr>
          <w:lang w:val="nb-NO"/>
        </w:rPr>
        <w:t>KvK-nummer: 56877781 – 100%</w:t>
      </w:r>
    </w:p>
    <w:p w14:paraId="6491014F" w14:textId="77777777" w:rsidR="003A144E" w:rsidRPr="0072636A" w:rsidRDefault="003A144E" w:rsidP="003A144E">
      <w:pPr>
        <w:ind w:left="720"/>
        <w:rPr>
          <w:lang w:val="nb-NO"/>
        </w:rPr>
      </w:pPr>
    </w:p>
    <w:p w14:paraId="29EC2A63" w14:textId="77777777" w:rsidR="003A144E" w:rsidRPr="0072636A" w:rsidRDefault="003A144E" w:rsidP="00523A24">
      <w:pPr>
        <w:numPr>
          <w:ilvl w:val="0"/>
          <w:numId w:val="17"/>
        </w:numPr>
        <w:rPr>
          <w:lang w:val="nb-NO"/>
        </w:rPr>
      </w:pPr>
      <w:r w:rsidRPr="0072636A">
        <w:rPr>
          <w:lang w:val="nb-NO"/>
        </w:rPr>
        <w:t>Finovi Service &amp; Onderhoud - De Leijerweg 6A, 5491TK Sint-Oedenrode - KvK-nummer: 75669684 - 100%</w:t>
      </w:r>
    </w:p>
    <w:p w14:paraId="6D205CF7" w14:textId="77777777" w:rsidR="003E602B" w:rsidRPr="00E879A6" w:rsidRDefault="003E602B" w:rsidP="00DF3E2B">
      <w:pPr>
        <w:rPr>
          <w:color w:val="ED7D31" w:themeColor="accent2"/>
          <w:lang w:val="nb-NO"/>
        </w:rPr>
      </w:pPr>
    </w:p>
    <w:p w14:paraId="0D9B53FD" w14:textId="77777777" w:rsidR="003E602B" w:rsidRPr="00E879A6" w:rsidRDefault="003E602B" w:rsidP="00DF3E2B">
      <w:pPr>
        <w:rPr>
          <w:color w:val="ED7D31" w:themeColor="accent2"/>
          <w:lang w:val="nb-NO"/>
        </w:rPr>
      </w:pPr>
    </w:p>
    <w:p w14:paraId="1AF1C5E3" w14:textId="77777777" w:rsidR="00936FDA" w:rsidRPr="00B37A3C" w:rsidRDefault="00936FDA">
      <w:pPr>
        <w:rPr>
          <w:rFonts w:eastAsiaTheme="majorEastAsia" w:cstheme="majorBidi"/>
          <w:color w:val="6ABE93"/>
          <w:sz w:val="24"/>
          <w:szCs w:val="26"/>
          <w:lang w:val="nb-NO"/>
        </w:rPr>
      </w:pPr>
    </w:p>
    <w:sectPr w:rsidR="00936FDA" w:rsidRPr="00B37A3C" w:rsidSect="00245C56">
      <w:headerReference w:type="default" r:id="rId29"/>
      <w:footerReference w:type="even" r:id="rId30"/>
      <w:footerReference w:type="defaul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93E4" w14:textId="77777777" w:rsidR="00C50F8D" w:rsidRDefault="00C50F8D" w:rsidP="00C42BFC">
      <w:r>
        <w:separator/>
      </w:r>
    </w:p>
  </w:endnote>
  <w:endnote w:type="continuationSeparator" w:id="0">
    <w:p w14:paraId="28BA274C" w14:textId="77777777" w:rsidR="00C50F8D" w:rsidRDefault="00C50F8D" w:rsidP="00C42BFC">
      <w:r>
        <w:continuationSeparator/>
      </w:r>
    </w:p>
  </w:endnote>
  <w:endnote w:type="continuationNotice" w:id="1">
    <w:p w14:paraId="0C166AAA" w14:textId="77777777" w:rsidR="00C50F8D" w:rsidRDefault="00C50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Aptos Narrow">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66803216"/>
      <w:docPartObj>
        <w:docPartGallery w:val="Page Numbers (Bottom of Page)"/>
        <w:docPartUnique/>
      </w:docPartObj>
    </w:sdtPr>
    <w:sdtContent>
      <w:p w14:paraId="57B2178E" w14:textId="77777777" w:rsidR="00EE5D88" w:rsidRDefault="00EE5D88" w:rsidP="0065303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63E79E0" w14:textId="77777777" w:rsidR="00EE5D88" w:rsidRDefault="00EE5D88" w:rsidP="00EE5D8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3527858"/>
      <w:docPartObj>
        <w:docPartGallery w:val="Page Numbers (Bottom of Page)"/>
        <w:docPartUnique/>
      </w:docPartObj>
    </w:sdtPr>
    <w:sdtContent>
      <w:p w14:paraId="0FB9A72D" w14:textId="77777777" w:rsidR="00EE5D88" w:rsidRDefault="00EE5D88" w:rsidP="0065303F">
        <w:pPr>
          <w:pStyle w:val="Voettekst"/>
          <w:framePr w:wrap="none" w:vAnchor="text" w:hAnchor="margin" w:xAlign="right" w:y="1"/>
          <w:rPr>
            <w:rStyle w:val="Paginanummer"/>
          </w:rPr>
        </w:pPr>
        <w:r w:rsidRPr="00EE5D88">
          <w:rPr>
            <w:rStyle w:val="Paginanummer"/>
            <w:b/>
            <w:bCs/>
            <w:color w:val="6ABE93"/>
          </w:rPr>
          <w:fldChar w:fldCharType="begin"/>
        </w:r>
        <w:r w:rsidRPr="00EE5D88">
          <w:rPr>
            <w:rStyle w:val="Paginanummer"/>
            <w:b/>
            <w:bCs/>
            <w:color w:val="6ABE93"/>
          </w:rPr>
          <w:instrText xml:space="preserve"> PAGE </w:instrText>
        </w:r>
        <w:r w:rsidRPr="00EE5D88">
          <w:rPr>
            <w:rStyle w:val="Paginanummer"/>
            <w:b/>
            <w:bCs/>
            <w:color w:val="6ABE93"/>
          </w:rPr>
          <w:fldChar w:fldCharType="separate"/>
        </w:r>
        <w:r w:rsidRPr="00EE5D88">
          <w:rPr>
            <w:rStyle w:val="Paginanummer"/>
            <w:b/>
            <w:bCs/>
            <w:noProof/>
            <w:color w:val="6ABE93"/>
          </w:rPr>
          <w:t>3</w:t>
        </w:r>
        <w:r w:rsidRPr="00EE5D88">
          <w:rPr>
            <w:rStyle w:val="Paginanummer"/>
            <w:b/>
            <w:bCs/>
            <w:color w:val="6ABE93"/>
          </w:rPr>
          <w:fldChar w:fldCharType="end"/>
        </w:r>
      </w:p>
    </w:sdtContent>
  </w:sdt>
  <w:p w14:paraId="604F2AD5" w14:textId="77777777" w:rsidR="00C42BFC" w:rsidRPr="000248F6" w:rsidRDefault="00EE5D88" w:rsidP="00EE5D88">
    <w:pPr>
      <w:pStyle w:val="Voettekst"/>
      <w:ind w:right="360"/>
      <w:rPr>
        <w:b/>
        <w:bCs/>
        <w:color w:val="6ABE94"/>
      </w:rPr>
    </w:pPr>
    <w:r>
      <w:tab/>
    </w:r>
    <w:r w:rsidR="000248F6" w:rsidRPr="000248F6">
      <w:rPr>
        <w:b/>
        <w:bCs/>
        <w:color w:val="6ABE94"/>
      </w:rPr>
      <w:t>CO</w:t>
    </w:r>
    <w:r w:rsidR="000248F6" w:rsidRPr="000248F6">
      <w:rPr>
        <w:b/>
        <w:bCs/>
        <w:color w:val="6ABE94"/>
        <w:vertAlign w:val="subscript"/>
      </w:rPr>
      <w:t>2</w:t>
    </w:r>
    <w:r w:rsidR="000248F6" w:rsidRPr="000248F6">
      <w:rPr>
        <w:b/>
        <w:bCs/>
        <w:color w:val="6ABE94"/>
      </w:rPr>
      <w:t xml:space="preserve">-Prestatieladder - </w:t>
    </w:r>
    <w:r w:rsidR="002B1AE1">
      <w:rPr>
        <w:b/>
        <w:bCs/>
        <w:color w:val="6ABE94"/>
      </w:rPr>
      <w:t>Verslag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2CF5" w14:textId="77777777" w:rsidR="00C50F8D" w:rsidRDefault="00C50F8D" w:rsidP="00C42BFC">
      <w:r>
        <w:separator/>
      </w:r>
    </w:p>
  </w:footnote>
  <w:footnote w:type="continuationSeparator" w:id="0">
    <w:p w14:paraId="697ECFF6" w14:textId="77777777" w:rsidR="00C50F8D" w:rsidRDefault="00C50F8D" w:rsidP="00C42BFC">
      <w:r>
        <w:continuationSeparator/>
      </w:r>
    </w:p>
  </w:footnote>
  <w:footnote w:type="continuationNotice" w:id="1">
    <w:p w14:paraId="45F8F3A7" w14:textId="77777777" w:rsidR="00C50F8D" w:rsidRDefault="00C50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43AA" w14:textId="3EB9C40B" w:rsidR="008212F3" w:rsidRDefault="00872DC7">
    <w:pPr>
      <w:pStyle w:val="Koptekst"/>
    </w:pPr>
    <w:r>
      <w:rPr>
        <w:noProof/>
      </w:rPr>
      <w:drawing>
        <wp:anchor distT="0" distB="0" distL="114300" distR="114300" simplePos="0" relativeHeight="251658240" behindDoc="1" locked="0" layoutInCell="1" allowOverlap="1" wp14:anchorId="14EA9C53" wp14:editId="15B95615">
          <wp:simplePos x="0" y="0"/>
          <wp:positionH relativeFrom="column">
            <wp:posOffset>4893538</wp:posOffset>
          </wp:positionH>
          <wp:positionV relativeFrom="paragraph">
            <wp:posOffset>-181737</wp:posOffset>
          </wp:positionV>
          <wp:extent cx="1596561" cy="432226"/>
          <wp:effectExtent l="0" t="0" r="3810" b="6350"/>
          <wp:wrapNone/>
          <wp:docPr id="2039524143" name="Afbeelding 5" descr="Logo Finovi zwart transparant - ETV de Hel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inovi zwart transparant - ETV de Hel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561" cy="432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A09"/>
    <w:multiLevelType w:val="hybridMultilevel"/>
    <w:tmpl w:val="3EB40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010970"/>
    <w:multiLevelType w:val="hybridMultilevel"/>
    <w:tmpl w:val="B9EC363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BF30B74"/>
    <w:multiLevelType w:val="multilevel"/>
    <w:tmpl w:val="08EEDDB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287"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E0A3A7A"/>
    <w:multiLevelType w:val="hybridMultilevel"/>
    <w:tmpl w:val="4072C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588EA7"/>
    <w:multiLevelType w:val="hybridMultilevel"/>
    <w:tmpl w:val="DB3C09FE"/>
    <w:lvl w:ilvl="0" w:tplc="AF82B6DA">
      <w:start w:val="1"/>
      <w:numFmt w:val="bullet"/>
      <w:lvlText w:val="-"/>
      <w:lvlJc w:val="left"/>
      <w:pPr>
        <w:ind w:left="720" w:hanging="360"/>
      </w:pPr>
      <w:rPr>
        <w:rFonts w:ascii="Aptos" w:hAnsi="Aptos" w:hint="default"/>
      </w:rPr>
    </w:lvl>
    <w:lvl w:ilvl="1" w:tplc="507ACB82">
      <w:start w:val="1"/>
      <w:numFmt w:val="bullet"/>
      <w:lvlText w:val="o"/>
      <w:lvlJc w:val="left"/>
      <w:pPr>
        <w:ind w:left="1440" w:hanging="360"/>
      </w:pPr>
      <w:rPr>
        <w:rFonts w:ascii="Courier New" w:hAnsi="Courier New" w:hint="default"/>
      </w:rPr>
    </w:lvl>
    <w:lvl w:ilvl="2" w:tplc="B7002B20">
      <w:start w:val="1"/>
      <w:numFmt w:val="bullet"/>
      <w:lvlText w:val=""/>
      <w:lvlJc w:val="left"/>
      <w:pPr>
        <w:ind w:left="2160" w:hanging="360"/>
      </w:pPr>
      <w:rPr>
        <w:rFonts w:ascii="Wingdings" w:hAnsi="Wingdings" w:hint="default"/>
      </w:rPr>
    </w:lvl>
    <w:lvl w:ilvl="3" w:tplc="DB5882DC">
      <w:start w:val="1"/>
      <w:numFmt w:val="bullet"/>
      <w:lvlText w:val=""/>
      <w:lvlJc w:val="left"/>
      <w:pPr>
        <w:ind w:left="2880" w:hanging="360"/>
      </w:pPr>
      <w:rPr>
        <w:rFonts w:ascii="Symbol" w:hAnsi="Symbol" w:hint="default"/>
      </w:rPr>
    </w:lvl>
    <w:lvl w:ilvl="4" w:tplc="CA3E2ABC">
      <w:start w:val="1"/>
      <w:numFmt w:val="bullet"/>
      <w:lvlText w:val="o"/>
      <w:lvlJc w:val="left"/>
      <w:pPr>
        <w:ind w:left="3600" w:hanging="360"/>
      </w:pPr>
      <w:rPr>
        <w:rFonts w:ascii="Courier New" w:hAnsi="Courier New" w:hint="default"/>
      </w:rPr>
    </w:lvl>
    <w:lvl w:ilvl="5" w:tplc="B9B03078">
      <w:start w:val="1"/>
      <w:numFmt w:val="bullet"/>
      <w:lvlText w:val=""/>
      <w:lvlJc w:val="left"/>
      <w:pPr>
        <w:ind w:left="4320" w:hanging="360"/>
      </w:pPr>
      <w:rPr>
        <w:rFonts w:ascii="Wingdings" w:hAnsi="Wingdings" w:hint="default"/>
      </w:rPr>
    </w:lvl>
    <w:lvl w:ilvl="6" w:tplc="B46653EA">
      <w:start w:val="1"/>
      <w:numFmt w:val="bullet"/>
      <w:lvlText w:val=""/>
      <w:lvlJc w:val="left"/>
      <w:pPr>
        <w:ind w:left="5040" w:hanging="360"/>
      </w:pPr>
      <w:rPr>
        <w:rFonts w:ascii="Symbol" w:hAnsi="Symbol" w:hint="default"/>
      </w:rPr>
    </w:lvl>
    <w:lvl w:ilvl="7" w:tplc="BE28929A">
      <w:start w:val="1"/>
      <w:numFmt w:val="bullet"/>
      <w:lvlText w:val="o"/>
      <w:lvlJc w:val="left"/>
      <w:pPr>
        <w:ind w:left="5760" w:hanging="360"/>
      </w:pPr>
      <w:rPr>
        <w:rFonts w:ascii="Courier New" w:hAnsi="Courier New" w:hint="default"/>
      </w:rPr>
    </w:lvl>
    <w:lvl w:ilvl="8" w:tplc="942CD25E">
      <w:start w:val="1"/>
      <w:numFmt w:val="bullet"/>
      <w:lvlText w:val=""/>
      <w:lvlJc w:val="left"/>
      <w:pPr>
        <w:ind w:left="6480" w:hanging="360"/>
      </w:pPr>
      <w:rPr>
        <w:rFonts w:ascii="Wingdings" w:hAnsi="Wingdings" w:hint="default"/>
      </w:rPr>
    </w:lvl>
  </w:abstractNum>
  <w:abstractNum w:abstractNumId="5" w15:restartNumberingAfterBreak="0">
    <w:nsid w:val="14B92BC3"/>
    <w:multiLevelType w:val="hybridMultilevel"/>
    <w:tmpl w:val="339E84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92902"/>
    <w:multiLevelType w:val="hybridMultilevel"/>
    <w:tmpl w:val="A14E9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2930BA"/>
    <w:multiLevelType w:val="hybridMultilevel"/>
    <w:tmpl w:val="E28E0A7C"/>
    <w:lvl w:ilvl="0" w:tplc="9E4A165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C3D4C"/>
    <w:multiLevelType w:val="hybridMultilevel"/>
    <w:tmpl w:val="022CA376"/>
    <w:lvl w:ilvl="0" w:tplc="7C261EFE">
      <w:start w:val="1"/>
      <w:numFmt w:val="bullet"/>
      <w:lvlText w:val="-"/>
      <w:lvlJc w:val="left"/>
      <w:pPr>
        <w:ind w:left="720" w:hanging="360"/>
      </w:pPr>
      <w:rPr>
        <w:rFonts w:ascii="Aptos" w:hAnsi="Aptos" w:hint="default"/>
      </w:rPr>
    </w:lvl>
    <w:lvl w:ilvl="1" w:tplc="59428B00">
      <w:start w:val="1"/>
      <w:numFmt w:val="bullet"/>
      <w:lvlText w:val="o"/>
      <w:lvlJc w:val="left"/>
      <w:pPr>
        <w:ind w:left="1440" w:hanging="360"/>
      </w:pPr>
      <w:rPr>
        <w:rFonts w:ascii="Courier New" w:hAnsi="Courier New" w:hint="default"/>
      </w:rPr>
    </w:lvl>
    <w:lvl w:ilvl="2" w:tplc="F97E1284">
      <w:start w:val="1"/>
      <w:numFmt w:val="bullet"/>
      <w:lvlText w:val=""/>
      <w:lvlJc w:val="left"/>
      <w:pPr>
        <w:ind w:left="2160" w:hanging="360"/>
      </w:pPr>
      <w:rPr>
        <w:rFonts w:ascii="Wingdings" w:hAnsi="Wingdings" w:hint="default"/>
      </w:rPr>
    </w:lvl>
    <w:lvl w:ilvl="3" w:tplc="C1161846">
      <w:start w:val="1"/>
      <w:numFmt w:val="bullet"/>
      <w:lvlText w:val=""/>
      <w:lvlJc w:val="left"/>
      <w:pPr>
        <w:ind w:left="2880" w:hanging="360"/>
      </w:pPr>
      <w:rPr>
        <w:rFonts w:ascii="Symbol" w:hAnsi="Symbol" w:hint="default"/>
      </w:rPr>
    </w:lvl>
    <w:lvl w:ilvl="4" w:tplc="74D0DB40">
      <w:start w:val="1"/>
      <w:numFmt w:val="bullet"/>
      <w:lvlText w:val="o"/>
      <w:lvlJc w:val="left"/>
      <w:pPr>
        <w:ind w:left="3600" w:hanging="360"/>
      </w:pPr>
      <w:rPr>
        <w:rFonts w:ascii="Courier New" w:hAnsi="Courier New" w:hint="default"/>
      </w:rPr>
    </w:lvl>
    <w:lvl w:ilvl="5" w:tplc="A59E25E4">
      <w:start w:val="1"/>
      <w:numFmt w:val="bullet"/>
      <w:lvlText w:val=""/>
      <w:lvlJc w:val="left"/>
      <w:pPr>
        <w:ind w:left="4320" w:hanging="360"/>
      </w:pPr>
      <w:rPr>
        <w:rFonts w:ascii="Wingdings" w:hAnsi="Wingdings" w:hint="default"/>
      </w:rPr>
    </w:lvl>
    <w:lvl w:ilvl="6" w:tplc="16D42A80">
      <w:start w:val="1"/>
      <w:numFmt w:val="bullet"/>
      <w:lvlText w:val=""/>
      <w:lvlJc w:val="left"/>
      <w:pPr>
        <w:ind w:left="5040" w:hanging="360"/>
      </w:pPr>
      <w:rPr>
        <w:rFonts w:ascii="Symbol" w:hAnsi="Symbol" w:hint="default"/>
      </w:rPr>
    </w:lvl>
    <w:lvl w:ilvl="7" w:tplc="D2A6C864">
      <w:start w:val="1"/>
      <w:numFmt w:val="bullet"/>
      <w:lvlText w:val="o"/>
      <w:lvlJc w:val="left"/>
      <w:pPr>
        <w:ind w:left="5760" w:hanging="360"/>
      </w:pPr>
      <w:rPr>
        <w:rFonts w:ascii="Courier New" w:hAnsi="Courier New" w:hint="default"/>
      </w:rPr>
    </w:lvl>
    <w:lvl w:ilvl="8" w:tplc="4C827770">
      <w:start w:val="1"/>
      <w:numFmt w:val="bullet"/>
      <w:lvlText w:val=""/>
      <w:lvlJc w:val="left"/>
      <w:pPr>
        <w:ind w:left="6480" w:hanging="360"/>
      </w:pPr>
      <w:rPr>
        <w:rFonts w:ascii="Wingdings" w:hAnsi="Wingdings" w:hint="default"/>
      </w:rPr>
    </w:lvl>
  </w:abstractNum>
  <w:abstractNum w:abstractNumId="9" w15:restartNumberingAfterBreak="0">
    <w:nsid w:val="1FDE4838"/>
    <w:multiLevelType w:val="hybridMultilevel"/>
    <w:tmpl w:val="B53681B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FE86C90"/>
    <w:multiLevelType w:val="hybridMultilevel"/>
    <w:tmpl w:val="BA26DA78"/>
    <w:lvl w:ilvl="0" w:tplc="BA222C80">
      <w:start w:val="1"/>
      <w:numFmt w:val="bullet"/>
      <w:lvlText w:val="-"/>
      <w:lvlJc w:val="left"/>
      <w:pPr>
        <w:ind w:left="1080" w:hanging="360"/>
      </w:pPr>
      <w:rPr>
        <w:rFonts w:ascii="Aptos" w:hAnsi="Aptos" w:hint="default"/>
      </w:rPr>
    </w:lvl>
    <w:lvl w:ilvl="1" w:tplc="73085ECA">
      <w:start w:val="1"/>
      <w:numFmt w:val="bullet"/>
      <w:lvlText w:val="o"/>
      <w:lvlJc w:val="left"/>
      <w:pPr>
        <w:ind w:left="1800" w:hanging="360"/>
      </w:pPr>
      <w:rPr>
        <w:rFonts w:ascii="Courier New" w:hAnsi="Courier New" w:hint="default"/>
      </w:rPr>
    </w:lvl>
    <w:lvl w:ilvl="2" w:tplc="DFD0AD98">
      <w:start w:val="1"/>
      <w:numFmt w:val="bullet"/>
      <w:lvlText w:val=""/>
      <w:lvlJc w:val="left"/>
      <w:pPr>
        <w:ind w:left="2520" w:hanging="360"/>
      </w:pPr>
      <w:rPr>
        <w:rFonts w:ascii="Wingdings" w:hAnsi="Wingdings" w:hint="default"/>
      </w:rPr>
    </w:lvl>
    <w:lvl w:ilvl="3" w:tplc="5192A4B0">
      <w:start w:val="1"/>
      <w:numFmt w:val="bullet"/>
      <w:lvlText w:val=""/>
      <w:lvlJc w:val="left"/>
      <w:pPr>
        <w:ind w:left="3240" w:hanging="360"/>
      </w:pPr>
      <w:rPr>
        <w:rFonts w:ascii="Symbol" w:hAnsi="Symbol" w:hint="default"/>
      </w:rPr>
    </w:lvl>
    <w:lvl w:ilvl="4" w:tplc="699A9A1E">
      <w:start w:val="1"/>
      <w:numFmt w:val="bullet"/>
      <w:lvlText w:val="o"/>
      <w:lvlJc w:val="left"/>
      <w:pPr>
        <w:ind w:left="3960" w:hanging="360"/>
      </w:pPr>
      <w:rPr>
        <w:rFonts w:ascii="Courier New" w:hAnsi="Courier New" w:hint="default"/>
      </w:rPr>
    </w:lvl>
    <w:lvl w:ilvl="5" w:tplc="EF9245AC">
      <w:start w:val="1"/>
      <w:numFmt w:val="bullet"/>
      <w:lvlText w:val=""/>
      <w:lvlJc w:val="left"/>
      <w:pPr>
        <w:ind w:left="4680" w:hanging="360"/>
      </w:pPr>
      <w:rPr>
        <w:rFonts w:ascii="Wingdings" w:hAnsi="Wingdings" w:hint="default"/>
      </w:rPr>
    </w:lvl>
    <w:lvl w:ilvl="6" w:tplc="36801A1A">
      <w:start w:val="1"/>
      <w:numFmt w:val="bullet"/>
      <w:lvlText w:val=""/>
      <w:lvlJc w:val="left"/>
      <w:pPr>
        <w:ind w:left="5400" w:hanging="360"/>
      </w:pPr>
      <w:rPr>
        <w:rFonts w:ascii="Symbol" w:hAnsi="Symbol" w:hint="default"/>
      </w:rPr>
    </w:lvl>
    <w:lvl w:ilvl="7" w:tplc="B77C92E6">
      <w:start w:val="1"/>
      <w:numFmt w:val="bullet"/>
      <w:lvlText w:val="o"/>
      <w:lvlJc w:val="left"/>
      <w:pPr>
        <w:ind w:left="6120" w:hanging="360"/>
      </w:pPr>
      <w:rPr>
        <w:rFonts w:ascii="Courier New" w:hAnsi="Courier New" w:hint="default"/>
      </w:rPr>
    </w:lvl>
    <w:lvl w:ilvl="8" w:tplc="03DEBF6C">
      <w:start w:val="1"/>
      <w:numFmt w:val="bullet"/>
      <w:lvlText w:val=""/>
      <w:lvlJc w:val="left"/>
      <w:pPr>
        <w:ind w:left="6840" w:hanging="360"/>
      </w:pPr>
      <w:rPr>
        <w:rFonts w:ascii="Wingdings" w:hAnsi="Wingdings" w:hint="default"/>
      </w:rPr>
    </w:lvl>
  </w:abstractNum>
  <w:abstractNum w:abstractNumId="11" w15:restartNumberingAfterBreak="0">
    <w:nsid w:val="22C5E3FA"/>
    <w:multiLevelType w:val="hybridMultilevel"/>
    <w:tmpl w:val="5984790E"/>
    <w:lvl w:ilvl="0" w:tplc="816EF812">
      <w:start w:val="1"/>
      <w:numFmt w:val="bullet"/>
      <w:lvlText w:val="-"/>
      <w:lvlJc w:val="left"/>
      <w:pPr>
        <w:ind w:left="720" w:hanging="360"/>
      </w:pPr>
      <w:rPr>
        <w:rFonts w:ascii="Symbol" w:hAnsi="Symbol" w:hint="default"/>
      </w:rPr>
    </w:lvl>
    <w:lvl w:ilvl="1" w:tplc="81029924">
      <w:start w:val="1"/>
      <w:numFmt w:val="bullet"/>
      <w:lvlText w:val="o"/>
      <w:lvlJc w:val="left"/>
      <w:pPr>
        <w:ind w:left="1440" w:hanging="360"/>
      </w:pPr>
      <w:rPr>
        <w:rFonts w:ascii="Courier New" w:hAnsi="Courier New" w:hint="default"/>
      </w:rPr>
    </w:lvl>
    <w:lvl w:ilvl="2" w:tplc="6950B260">
      <w:start w:val="1"/>
      <w:numFmt w:val="bullet"/>
      <w:lvlText w:val=""/>
      <w:lvlJc w:val="left"/>
      <w:pPr>
        <w:ind w:left="2160" w:hanging="360"/>
      </w:pPr>
      <w:rPr>
        <w:rFonts w:ascii="Wingdings" w:hAnsi="Wingdings" w:hint="default"/>
      </w:rPr>
    </w:lvl>
    <w:lvl w:ilvl="3" w:tplc="7CE00C70">
      <w:start w:val="1"/>
      <w:numFmt w:val="bullet"/>
      <w:lvlText w:val=""/>
      <w:lvlJc w:val="left"/>
      <w:pPr>
        <w:ind w:left="2880" w:hanging="360"/>
      </w:pPr>
      <w:rPr>
        <w:rFonts w:ascii="Symbol" w:hAnsi="Symbol" w:hint="default"/>
      </w:rPr>
    </w:lvl>
    <w:lvl w:ilvl="4" w:tplc="62DCEA7E">
      <w:start w:val="1"/>
      <w:numFmt w:val="bullet"/>
      <w:lvlText w:val="o"/>
      <w:lvlJc w:val="left"/>
      <w:pPr>
        <w:ind w:left="3600" w:hanging="360"/>
      </w:pPr>
      <w:rPr>
        <w:rFonts w:ascii="Courier New" w:hAnsi="Courier New" w:hint="default"/>
      </w:rPr>
    </w:lvl>
    <w:lvl w:ilvl="5" w:tplc="A0D48D16">
      <w:start w:val="1"/>
      <w:numFmt w:val="bullet"/>
      <w:lvlText w:val=""/>
      <w:lvlJc w:val="left"/>
      <w:pPr>
        <w:ind w:left="4320" w:hanging="360"/>
      </w:pPr>
      <w:rPr>
        <w:rFonts w:ascii="Wingdings" w:hAnsi="Wingdings" w:hint="default"/>
      </w:rPr>
    </w:lvl>
    <w:lvl w:ilvl="6" w:tplc="FAE0280A">
      <w:start w:val="1"/>
      <w:numFmt w:val="bullet"/>
      <w:lvlText w:val=""/>
      <w:lvlJc w:val="left"/>
      <w:pPr>
        <w:ind w:left="5040" w:hanging="360"/>
      </w:pPr>
      <w:rPr>
        <w:rFonts w:ascii="Symbol" w:hAnsi="Symbol" w:hint="default"/>
      </w:rPr>
    </w:lvl>
    <w:lvl w:ilvl="7" w:tplc="647A215E">
      <w:start w:val="1"/>
      <w:numFmt w:val="bullet"/>
      <w:lvlText w:val="o"/>
      <w:lvlJc w:val="left"/>
      <w:pPr>
        <w:ind w:left="5760" w:hanging="360"/>
      </w:pPr>
      <w:rPr>
        <w:rFonts w:ascii="Courier New" w:hAnsi="Courier New" w:hint="default"/>
      </w:rPr>
    </w:lvl>
    <w:lvl w:ilvl="8" w:tplc="661A823C">
      <w:start w:val="1"/>
      <w:numFmt w:val="bullet"/>
      <w:lvlText w:val=""/>
      <w:lvlJc w:val="left"/>
      <w:pPr>
        <w:ind w:left="6480" w:hanging="360"/>
      </w:pPr>
      <w:rPr>
        <w:rFonts w:ascii="Wingdings" w:hAnsi="Wingdings" w:hint="default"/>
      </w:rPr>
    </w:lvl>
  </w:abstractNum>
  <w:abstractNum w:abstractNumId="12" w15:restartNumberingAfterBreak="0">
    <w:nsid w:val="23B460CF"/>
    <w:multiLevelType w:val="hybridMultilevel"/>
    <w:tmpl w:val="686673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C7374F"/>
    <w:multiLevelType w:val="hybridMultilevel"/>
    <w:tmpl w:val="0ECE7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7E1C2B"/>
    <w:multiLevelType w:val="hybridMultilevel"/>
    <w:tmpl w:val="B5D41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2C337D"/>
    <w:multiLevelType w:val="hybridMultilevel"/>
    <w:tmpl w:val="FE7202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5D7CFB"/>
    <w:multiLevelType w:val="hybridMultilevel"/>
    <w:tmpl w:val="C8864664"/>
    <w:lvl w:ilvl="0" w:tplc="D6BCA012">
      <w:start w:val="1"/>
      <w:numFmt w:val="bullet"/>
      <w:lvlText w:val=""/>
      <w:lvlJc w:val="left"/>
      <w:pPr>
        <w:ind w:left="720" w:hanging="360"/>
      </w:pPr>
      <w:rPr>
        <w:rFonts w:ascii="Symbol" w:hAnsi="Symbol" w:hint="default"/>
      </w:rPr>
    </w:lvl>
    <w:lvl w:ilvl="1" w:tplc="70001BA2">
      <w:start w:val="1"/>
      <w:numFmt w:val="bullet"/>
      <w:lvlText w:val="o"/>
      <w:lvlJc w:val="left"/>
      <w:pPr>
        <w:ind w:left="1440" w:hanging="360"/>
      </w:pPr>
      <w:rPr>
        <w:rFonts w:ascii="Courier New" w:hAnsi="Courier New" w:hint="default"/>
      </w:rPr>
    </w:lvl>
    <w:lvl w:ilvl="2" w:tplc="97F07C04">
      <w:start w:val="1"/>
      <w:numFmt w:val="bullet"/>
      <w:lvlText w:val=""/>
      <w:lvlJc w:val="left"/>
      <w:pPr>
        <w:ind w:left="2160" w:hanging="360"/>
      </w:pPr>
      <w:rPr>
        <w:rFonts w:ascii="Wingdings" w:hAnsi="Wingdings" w:hint="default"/>
      </w:rPr>
    </w:lvl>
    <w:lvl w:ilvl="3" w:tplc="39D658C4">
      <w:start w:val="1"/>
      <w:numFmt w:val="bullet"/>
      <w:lvlText w:val=""/>
      <w:lvlJc w:val="left"/>
      <w:pPr>
        <w:ind w:left="2880" w:hanging="360"/>
      </w:pPr>
      <w:rPr>
        <w:rFonts w:ascii="Symbol" w:hAnsi="Symbol" w:hint="default"/>
      </w:rPr>
    </w:lvl>
    <w:lvl w:ilvl="4" w:tplc="EBEE8FFA">
      <w:start w:val="1"/>
      <w:numFmt w:val="bullet"/>
      <w:lvlText w:val="o"/>
      <w:lvlJc w:val="left"/>
      <w:pPr>
        <w:ind w:left="3600" w:hanging="360"/>
      </w:pPr>
      <w:rPr>
        <w:rFonts w:ascii="Courier New" w:hAnsi="Courier New" w:hint="default"/>
      </w:rPr>
    </w:lvl>
    <w:lvl w:ilvl="5" w:tplc="038C4DDC">
      <w:start w:val="1"/>
      <w:numFmt w:val="bullet"/>
      <w:lvlText w:val=""/>
      <w:lvlJc w:val="left"/>
      <w:pPr>
        <w:ind w:left="4320" w:hanging="360"/>
      </w:pPr>
      <w:rPr>
        <w:rFonts w:ascii="Wingdings" w:hAnsi="Wingdings" w:hint="default"/>
      </w:rPr>
    </w:lvl>
    <w:lvl w:ilvl="6" w:tplc="7A7A08BC">
      <w:start w:val="1"/>
      <w:numFmt w:val="bullet"/>
      <w:lvlText w:val=""/>
      <w:lvlJc w:val="left"/>
      <w:pPr>
        <w:ind w:left="5040" w:hanging="360"/>
      </w:pPr>
      <w:rPr>
        <w:rFonts w:ascii="Symbol" w:hAnsi="Symbol" w:hint="default"/>
      </w:rPr>
    </w:lvl>
    <w:lvl w:ilvl="7" w:tplc="78BA01C8">
      <w:start w:val="1"/>
      <w:numFmt w:val="bullet"/>
      <w:lvlText w:val="o"/>
      <w:lvlJc w:val="left"/>
      <w:pPr>
        <w:ind w:left="5760" w:hanging="360"/>
      </w:pPr>
      <w:rPr>
        <w:rFonts w:ascii="Courier New" w:hAnsi="Courier New" w:hint="default"/>
      </w:rPr>
    </w:lvl>
    <w:lvl w:ilvl="8" w:tplc="C0F40188">
      <w:start w:val="1"/>
      <w:numFmt w:val="bullet"/>
      <w:lvlText w:val=""/>
      <w:lvlJc w:val="left"/>
      <w:pPr>
        <w:ind w:left="6480" w:hanging="360"/>
      </w:pPr>
      <w:rPr>
        <w:rFonts w:ascii="Wingdings" w:hAnsi="Wingdings" w:hint="default"/>
      </w:rPr>
    </w:lvl>
  </w:abstractNum>
  <w:abstractNum w:abstractNumId="17" w15:restartNumberingAfterBreak="0">
    <w:nsid w:val="30D50858"/>
    <w:multiLevelType w:val="hybridMultilevel"/>
    <w:tmpl w:val="D9A08952"/>
    <w:lvl w:ilvl="0" w:tplc="818A2522">
      <w:start w:val="1"/>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18" w15:restartNumberingAfterBreak="0">
    <w:nsid w:val="32250125"/>
    <w:multiLevelType w:val="hybridMultilevel"/>
    <w:tmpl w:val="0D749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4FA33F"/>
    <w:multiLevelType w:val="hybridMultilevel"/>
    <w:tmpl w:val="2CE48370"/>
    <w:lvl w:ilvl="0" w:tplc="047C8764">
      <w:start w:val="1"/>
      <w:numFmt w:val="bullet"/>
      <w:lvlText w:val="o"/>
      <w:lvlJc w:val="left"/>
      <w:pPr>
        <w:ind w:left="1440" w:hanging="360"/>
      </w:pPr>
      <w:rPr>
        <w:rFonts w:ascii="Courier New" w:hAnsi="Courier New" w:hint="default"/>
      </w:rPr>
    </w:lvl>
    <w:lvl w:ilvl="1" w:tplc="9C2CD65C">
      <w:start w:val="1"/>
      <w:numFmt w:val="bullet"/>
      <w:lvlText w:val="o"/>
      <w:lvlJc w:val="left"/>
      <w:pPr>
        <w:ind w:left="2160" w:hanging="360"/>
      </w:pPr>
      <w:rPr>
        <w:rFonts w:ascii="Courier New" w:hAnsi="Courier New" w:hint="default"/>
      </w:rPr>
    </w:lvl>
    <w:lvl w:ilvl="2" w:tplc="126E56B2">
      <w:start w:val="1"/>
      <w:numFmt w:val="bullet"/>
      <w:lvlText w:val=""/>
      <w:lvlJc w:val="left"/>
      <w:pPr>
        <w:ind w:left="2880" w:hanging="360"/>
      </w:pPr>
      <w:rPr>
        <w:rFonts w:ascii="Wingdings" w:hAnsi="Wingdings" w:hint="default"/>
      </w:rPr>
    </w:lvl>
    <w:lvl w:ilvl="3" w:tplc="3F367E30">
      <w:start w:val="1"/>
      <w:numFmt w:val="bullet"/>
      <w:lvlText w:val=""/>
      <w:lvlJc w:val="left"/>
      <w:pPr>
        <w:ind w:left="3600" w:hanging="360"/>
      </w:pPr>
      <w:rPr>
        <w:rFonts w:ascii="Symbol" w:hAnsi="Symbol" w:hint="default"/>
      </w:rPr>
    </w:lvl>
    <w:lvl w:ilvl="4" w:tplc="909AF366">
      <w:start w:val="1"/>
      <w:numFmt w:val="bullet"/>
      <w:lvlText w:val="o"/>
      <w:lvlJc w:val="left"/>
      <w:pPr>
        <w:ind w:left="4320" w:hanging="360"/>
      </w:pPr>
      <w:rPr>
        <w:rFonts w:ascii="Courier New" w:hAnsi="Courier New" w:hint="default"/>
      </w:rPr>
    </w:lvl>
    <w:lvl w:ilvl="5" w:tplc="2E4694A8">
      <w:start w:val="1"/>
      <w:numFmt w:val="bullet"/>
      <w:lvlText w:val=""/>
      <w:lvlJc w:val="left"/>
      <w:pPr>
        <w:ind w:left="5040" w:hanging="360"/>
      </w:pPr>
      <w:rPr>
        <w:rFonts w:ascii="Wingdings" w:hAnsi="Wingdings" w:hint="default"/>
      </w:rPr>
    </w:lvl>
    <w:lvl w:ilvl="6" w:tplc="94BC5880">
      <w:start w:val="1"/>
      <w:numFmt w:val="bullet"/>
      <w:lvlText w:val=""/>
      <w:lvlJc w:val="left"/>
      <w:pPr>
        <w:ind w:left="5760" w:hanging="360"/>
      </w:pPr>
      <w:rPr>
        <w:rFonts w:ascii="Symbol" w:hAnsi="Symbol" w:hint="default"/>
      </w:rPr>
    </w:lvl>
    <w:lvl w:ilvl="7" w:tplc="B2B4559C">
      <w:start w:val="1"/>
      <w:numFmt w:val="bullet"/>
      <w:lvlText w:val="o"/>
      <w:lvlJc w:val="left"/>
      <w:pPr>
        <w:ind w:left="6480" w:hanging="360"/>
      </w:pPr>
      <w:rPr>
        <w:rFonts w:ascii="Courier New" w:hAnsi="Courier New" w:hint="default"/>
      </w:rPr>
    </w:lvl>
    <w:lvl w:ilvl="8" w:tplc="C4965774">
      <w:start w:val="1"/>
      <w:numFmt w:val="bullet"/>
      <w:lvlText w:val=""/>
      <w:lvlJc w:val="left"/>
      <w:pPr>
        <w:ind w:left="7200" w:hanging="360"/>
      </w:pPr>
      <w:rPr>
        <w:rFonts w:ascii="Wingdings" w:hAnsi="Wingdings" w:hint="default"/>
      </w:rPr>
    </w:lvl>
  </w:abstractNum>
  <w:abstractNum w:abstractNumId="20" w15:restartNumberingAfterBreak="0">
    <w:nsid w:val="33AEA879"/>
    <w:multiLevelType w:val="hybridMultilevel"/>
    <w:tmpl w:val="99109C46"/>
    <w:lvl w:ilvl="0" w:tplc="C0702C82">
      <w:start w:val="1"/>
      <w:numFmt w:val="decimal"/>
      <w:lvlText w:val="3"/>
      <w:lvlJc w:val="left"/>
      <w:pPr>
        <w:ind w:left="720" w:hanging="360"/>
      </w:pPr>
    </w:lvl>
    <w:lvl w:ilvl="1" w:tplc="DF181DC6">
      <w:start w:val="1"/>
      <w:numFmt w:val="lowerLetter"/>
      <w:lvlText w:val="%2."/>
      <w:lvlJc w:val="left"/>
      <w:pPr>
        <w:ind w:left="1440" w:hanging="360"/>
      </w:pPr>
    </w:lvl>
    <w:lvl w:ilvl="2" w:tplc="A97A4008">
      <w:start w:val="1"/>
      <w:numFmt w:val="lowerRoman"/>
      <w:lvlText w:val="%3."/>
      <w:lvlJc w:val="right"/>
      <w:pPr>
        <w:ind w:left="2160" w:hanging="180"/>
      </w:pPr>
    </w:lvl>
    <w:lvl w:ilvl="3" w:tplc="DACA0734">
      <w:start w:val="1"/>
      <w:numFmt w:val="decimal"/>
      <w:lvlText w:val="%4."/>
      <w:lvlJc w:val="left"/>
      <w:pPr>
        <w:ind w:left="2880" w:hanging="360"/>
      </w:pPr>
    </w:lvl>
    <w:lvl w:ilvl="4" w:tplc="A330F5AA">
      <w:start w:val="1"/>
      <w:numFmt w:val="lowerLetter"/>
      <w:lvlText w:val="%5."/>
      <w:lvlJc w:val="left"/>
      <w:pPr>
        <w:ind w:left="3600" w:hanging="360"/>
      </w:pPr>
    </w:lvl>
    <w:lvl w:ilvl="5" w:tplc="31305ED4">
      <w:start w:val="1"/>
      <w:numFmt w:val="lowerRoman"/>
      <w:lvlText w:val="%6."/>
      <w:lvlJc w:val="right"/>
      <w:pPr>
        <w:ind w:left="4320" w:hanging="180"/>
      </w:pPr>
    </w:lvl>
    <w:lvl w:ilvl="6" w:tplc="57CA7BC4">
      <w:start w:val="1"/>
      <w:numFmt w:val="decimal"/>
      <w:lvlText w:val="%7."/>
      <w:lvlJc w:val="left"/>
      <w:pPr>
        <w:ind w:left="5040" w:hanging="360"/>
      </w:pPr>
    </w:lvl>
    <w:lvl w:ilvl="7" w:tplc="9FEA69E8">
      <w:start w:val="1"/>
      <w:numFmt w:val="lowerLetter"/>
      <w:lvlText w:val="%8."/>
      <w:lvlJc w:val="left"/>
      <w:pPr>
        <w:ind w:left="5760" w:hanging="360"/>
      </w:pPr>
    </w:lvl>
    <w:lvl w:ilvl="8" w:tplc="4A7A991A">
      <w:start w:val="1"/>
      <w:numFmt w:val="lowerRoman"/>
      <w:lvlText w:val="%9."/>
      <w:lvlJc w:val="right"/>
      <w:pPr>
        <w:ind w:left="6480" w:hanging="180"/>
      </w:pPr>
    </w:lvl>
  </w:abstractNum>
  <w:abstractNum w:abstractNumId="21" w15:restartNumberingAfterBreak="0">
    <w:nsid w:val="34219EAB"/>
    <w:multiLevelType w:val="hybridMultilevel"/>
    <w:tmpl w:val="5B8EB182"/>
    <w:lvl w:ilvl="0" w:tplc="59987DF4">
      <w:start w:val="1"/>
      <w:numFmt w:val="bullet"/>
      <w:lvlText w:val="-"/>
      <w:lvlJc w:val="left"/>
      <w:pPr>
        <w:ind w:left="720" w:hanging="360"/>
      </w:pPr>
      <w:rPr>
        <w:rFonts w:ascii="Aptos" w:hAnsi="Aptos" w:hint="default"/>
      </w:rPr>
    </w:lvl>
    <w:lvl w:ilvl="1" w:tplc="93C699DE">
      <w:start w:val="1"/>
      <w:numFmt w:val="bullet"/>
      <w:lvlText w:val="o"/>
      <w:lvlJc w:val="left"/>
      <w:pPr>
        <w:ind w:left="1440" w:hanging="360"/>
      </w:pPr>
      <w:rPr>
        <w:rFonts w:ascii="Courier New" w:hAnsi="Courier New" w:hint="default"/>
      </w:rPr>
    </w:lvl>
    <w:lvl w:ilvl="2" w:tplc="41A49F98">
      <w:start w:val="1"/>
      <w:numFmt w:val="bullet"/>
      <w:lvlText w:val=""/>
      <w:lvlJc w:val="left"/>
      <w:pPr>
        <w:ind w:left="2160" w:hanging="360"/>
      </w:pPr>
      <w:rPr>
        <w:rFonts w:ascii="Wingdings" w:hAnsi="Wingdings" w:hint="default"/>
      </w:rPr>
    </w:lvl>
    <w:lvl w:ilvl="3" w:tplc="29EA3E42">
      <w:start w:val="1"/>
      <w:numFmt w:val="bullet"/>
      <w:lvlText w:val=""/>
      <w:lvlJc w:val="left"/>
      <w:pPr>
        <w:ind w:left="2880" w:hanging="360"/>
      </w:pPr>
      <w:rPr>
        <w:rFonts w:ascii="Symbol" w:hAnsi="Symbol" w:hint="default"/>
      </w:rPr>
    </w:lvl>
    <w:lvl w:ilvl="4" w:tplc="D214FC18">
      <w:start w:val="1"/>
      <w:numFmt w:val="bullet"/>
      <w:lvlText w:val="o"/>
      <w:lvlJc w:val="left"/>
      <w:pPr>
        <w:ind w:left="3600" w:hanging="360"/>
      </w:pPr>
      <w:rPr>
        <w:rFonts w:ascii="Courier New" w:hAnsi="Courier New" w:hint="default"/>
      </w:rPr>
    </w:lvl>
    <w:lvl w:ilvl="5" w:tplc="B5E0F5BC">
      <w:start w:val="1"/>
      <w:numFmt w:val="bullet"/>
      <w:lvlText w:val=""/>
      <w:lvlJc w:val="left"/>
      <w:pPr>
        <w:ind w:left="4320" w:hanging="360"/>
      </w:pPr>
      <w:rPr>
        <w:rFonts w:ascii="Wingdings" w:hAnsi="Wingdings" w:hint="default"/>
      </w:rPr>
    </w:lvl>
    <w:lvl w:ilvl="6" w:tplc="BDE818EE">
      <w:start w:val="1"/>
      <w:numFmt w:val="bullet"/>
      <w:lvlText w:val=""/>
      <w:lvlJc w:val="left"/>
      <w:pPr>
        <w:ind w:left="5040" w:hanging="360"/>
      </w:pPr>
      <w:rPr>
        <w:rFonts w:ascii="Symbol" w:hAnsi="Symbol" w:hint="default"/>
      </w:rPr>
    </w:lvl>
    <w:lvl w:ilvl="7" w:tplc="E08CEA8E">
      <w:start w:val="1"/>
      <w:numFmt w:val="bullet"/>
      <w:lvlText w:val="o"/>
      <w:lvlJc w:val="left"/>
      <w:pPr>
        <w:ind w:left="5760" w:hanging="360"/>
      </w:pPr>
      <w:rPr>
        <w:rFonts w:ascii="Courier New" w:hAnsi="Courier New" w:hint="default"/>
      </w:rPr>
    </w:lvl>
    <w:lvl w:ilvl="8" w:tplc="EB329802">
      <w:start w:val="1"/>
      <w:numFmt w:val="bullet"/>
      <w:lvlText w:val=""/>
      <w:lvlJc w:val="left"/>
      <w:pPr>
        <w:ind w:left="6480" w:hanging="360"/>
      </w:pPr>
      <w:rPr>
        <w:rFonts w:ascii="Wingdings" w:hAnsi="Wingdings" w:hint="default"/>
      </w:rPr>
    </w:lvl>
  </w:abstractNum>
  <w:abstractNum w:abstractNumId="22" w15:restartNumberingAfterBreak="0">
    <w:nsid w:val="34916C20"/>
    <w:multiLevelType w:val="hybridMultilevel"/>
    <w:tmpl w:val="FBBE350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833168"/>
    <w:multiLevelType w:val="hybridMultilevel"/>
    <w:tmpl w:val="13AE81F4"/>
    <w:lvl w:ilvl="0" w:tplc="E1F63520">
      <w:start w:val="1"/>
      <w:numFmt w:val="bullet"/>
      <w:lvlText w:val="o"/>
      <w:lvlJc w:val="left"/>
      <w:pPr>
        <w:ind w:left="1800" w:hanging="360"/>
      </w:pPr>
      <w:rPr>
        <w:rFonts w:ascii="Courier New" w:hAnsi="Courier New" w:hint="default"/>
      </w:rPr>
    </w:lvl>
    <w:lvl w:ilvl="1" w:tplc="8786965C">
      <w:start w:val="1"/>
      <w:numFmt w:val="bullet"/>
      <w:lvlText w:val="o"/>
      <w:lvlJc w:val="left"/>
      <w:pPr>
        <w:ind w:left="2520" w:hanging="360"/>
      </w:pPr>
      <w:rPr>
        <w:rFonts w:ascii="Courier New" w:hAnsi="Courier New" w:hint="default"/>
      </w:rPr>
    </w:lvl>
    <w:lvl w:ilvl="2" w:tplc="CDB65D4C">
      <w:start w:val="1"/>
      <w:numFmt w:val="bullet"/>
      <w:lvlText w:val=""/>
      <w:lvlJc w:val="left"/>
      <w:pPr>
        <w:ind w:left="3240" w:hanging="360"/>
      </w:pPr>
      <w:rPr>
        <w:rFonts w:ascii="Wingdings" w:hAnsi="Wingdings" w:hint="default"/>
      </w:rPr>
    </w:lvl>
    <w:lvl w:ilvl="3" w:tplc="81D4047A">
      <w:start w:val="1"/>
      <w:numFmt w:val="bullet"/>
      <w:lvlText w:val=""/>
      <w:lvlJc w:val="left"/>
      <w:pPr>
        <w:ind w:left="3960" w:hanging="360"/>
      </w:pPr>
      <w:rPr>
        <w:rFonts w:ascii="Symbol" w:hAnsi="Symbol" w:hint="default"/>
      </w:rPr>
    </w:lvl>
    <w:lvl w:ilvl="4" w:tplc="16E82F4A">
      <w:start w:val="1"/>
      <w:numFmt w:val="bullet"/>
      <w:lvlText w:val="o"/>
      <w:lvlJc w:val="left"/>
      <w:pPr>
        <w:ind w:left="4680" w:hanging="360"/>
      </w:pPr>
      <w:rPr>
        <w:rFonts w:ascii="Courier New" w:hAnsi="Courier New" w:hint="default"/>
      </w:rPr>
    </w:lvl>
    <w:lvl w:ilvl="5" w:tplc="71984E52">
      <w:start w:val="1"/>
      <w:numFmt w:val="bullet"/>
      <w:lvlText w:val=""/>
      <w:lvlJc w:val="left"/>
      <w:pPr>
        <w:ind w:left="5400" w:hanging="360"/>
      </w:pPr>
      <w:rPr>
        <w:rFonts w:ascii="Wingdings" w:hAnsi="Wingdings" w:hint="default"/>
      </w:rPr>
    </w:lvl>
    <w:lvl w:ilvl="6" w:tplc="1F2E8AF0">
      <w:start w:val="1"/>
      <w:numFmt w:val="bullet"/>
      <w:lvlText w:val=""/>
      <w:lvlJc w:val="left"/>
      <w:pPr>
        <w:ind w:left="6120" w:hanging="360"/>
      </w:pPr>
      <w:rPr>
        <w:rFonts w:ascii="Symbol" w:hAnsi="Symbol" w:hint="default"/>
      </w:rPr>
    </w:lvl>
    <w:lvl w:ilvl="7" w:tplc="A852FBCE">
      <w:start w:val="1"/>
      <w:numFmt w:val="bullet"/>
      <w:lvlText w:val="o"/>
      <w:lvlJc w:val="left"/>
      <w:pPr>
        <w:ind w:left="6840" w:hanging="360"/>
      </w:pPr>
      <w:rPr>
        <w:rFonts w:ascii="Courier New" w:hAnsi="Courier New" w:hint="default"/>
      </w:rPr>
    </w:lvl>
    <w:lvl w:ilvl="8" w:tplc="B238BA8A">
      <w:start w:val="1"/>
      <w:numFmt w:val="bullet"/>
      <w:lvlText w:val=""/>
      <w:lvlJc w:val="left"/>
      <w:pPr>
        <w:ind w:left="7560" w:hanging="360"/>
      </w:pPr>
      <w:rPr>
        <w:rFonts w:ascii="Wingdings" w:hAnsi="Wingdings" w:hint="default"/>
      </w:rPr>
    </w:lvl>
  </w:abstractNum>
  <w:abstractNum w:abstractNumId="24" w15:restartNumberingAfterBreak="0">
    <w:nsid w:val="3897EBA3"/>
    <w:multiLevelType w:val="hybridMultilevel"/>
    <w:tmpl w:val="3D3E012A"/>
    <w:lvl w:ilvl="0" w:tplc="F3D6ECFA">
      <w:start w:val="1"/>
      <w:numFmt w:val="bullet"/>
      <w:lvlText w:val="-"/>
      <w:lvlJc w:val="left"/>
      <w:pPr>
        <w:ind w:left="720" w:hanging="360"/>
      </w:pPr>
      <w:rPr>
        <w:rFonts w:ascii="Aptos" w:hAnsi="Aptos" w:hint="default"/>
      </w:rPr>
    </w:lvl>
    <w:lvl w:ilvl="1" w:tplc="EDF21B06">
      <w:start w:val="1"/>
      <w:numFmt w:val="bullet"/>
      <w:lvlText w:val="o"/>
      <w:lvlJc w:val="left"/>
      <w:pPr>
        <w:ind w:left="1440" w:hanging="360"/>
      </w:pPr>
      <w:rPr>
        <w:rFonts w:ascii="Courier New" w:hAnsi="Courier New" w:hint="default"/>
      </w:rPr>
    </w:lvl>
    <w:lvl w:ilvl="2" w:tplc="140A3A76">
      <w:start w:val="1"/>
      <w:numFmt w:val="bullet"/>
      <w:lvlText w:val=""/>
      <w:lvlJc w:val="left"/>
      <w:pPr>
        <w:ind w:left="2160" w:hanging="360"/>
      </w:pPr>
      <w:rPr>
        <w:rFonts w:ascii="Wingdings" w:hAnsi="Wingdings" w:hint="default"/>
      </w:rPr>
    </w:lvl>
    <w:lvl w:ilvl="3" w:tplc="4E5C9A9E">
      <w:start w:val="1"/>
      <w:numFmt w:val="bullet"/>
      <w:lvlText w:val=""/>
      <w:lvlJc w:val="left"/>
      <w:pPr>
        <w:ind w:left="2880" w:hanging="360"/>
      </w:pPr>
      <w:rPr>
        <w:rFonts w:ascii="Symbol" w:hAnsi="Symbol" w:hint="default"/>
      </w:rPr>
    </w:lvl>
    <w:lvl w:ilvl="4" w:tplc="3B243072">
      <w:start w:val="1"/>
      <w:numFmt w:val="bullet"/>
      <w:lvlText w:val="o"/>
      <w:lvlJc w:val="left"/>
      <w:pPr>
        <w:ind w:left="3600" w:hanging="360"/>
      </w:pPr>
      <w:rPr>
        <w:rFonts w:ascii="Courier New" w:hAnsi="Courier New" w:hint="default"/>
      </w:rPr>
    </w:lvl>
    <w:lvl w:ilvl="5" w:tplc="E5EE79CA">
      <w:start w:val="1"/>
      <w:numFmt w:val="bullet"/>
      <w:lvlText w:val=""/>
      <w:lvlJc w:val="left"/>
      <w:pPr>
        <w:ind w:left="4320" w:hanging="360"/>
      </w:pPr>
      <w:rPr>
        <w:rFonts w:ascii="Wingdings" w:hAnsi="Wingdings" w:hint="default"/>
      </w:rPr>
    </w:lvl>
    <w:lvl w:ilvl="6" w:tplc="9DB6F5BE">
      <w:start w:val="1"/>
      <w:numFmt w:val="bullet"/>
      <w:lvlText w:val=""/>
      <w:lvlJc w:val="left"/>
      <w:pPr>
        <w:ind w:left="5040" w:hanging="360"/>
      </w:pPr>
      <w:rPr>
        <w:rFonts w:ascii="Symbol" w:hAnsi="Symbol" w:hint="default"/>
      </w:rPr>
    </w:lvl>
    <w:lvl w:ilvl="7" w:tplc="39CCD3EA">
      <w:start w:val="1"/>
      <w:numFmt w:val="bullet"/>
      <w:lvlText w:val="o"/>
      <w:lvlJc w:val="left"/>
      <w:pPr>
        <w:ind w:left="5760" w:hanging="360"/>
      </w:pPr>
      <w:rPr>
        <w:rFonts w:ascii="Courier New" w:hAnsi="Courier New" w:hint="default"/>
      </w:rPr>
    </w:lvl>
    <w:lvl w:ilvl="8" w:tplc="5B4A9A2E">
      <w:start w:val="1"/>
      <w:numFmt w:val="bullet"/>
      <w:lvlText w:val=""/>
      <w:lvlJc w:val="left"/>
      <w:pPr>
        <w:ind w:left="6480" w:hanging="360"/>
      </w:pPr>
      <w:rPr>
        <w:rFonts w:ascii="Wingdings" w:hAnsi="Wingdings" w:hint="default"/>
      </w:rPr>
    </w:lvl>
  </w:abstractNum>
  <w:abstractNum w:abstractNumId="25" w15:restartNumberingAfterBreak="0">
    <w:nsid w:val="398E2DFD"/>
    <w:multiLevelType w:val="hybridMultilevel"/>
    <w:tmpl w:val="D49CF008"/>
    <w:lvl w:ilvl="0" w:tplc="86B42182">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D44B16"/>
    <w:multiLevelType w:val="hybridMultilevel"/>
    <w:tmpl w:val="DB502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E2E235C"/>
    <w:multiLevelType w:val="hybridMultilevel"/>
    <w:tmpl w:val="A64E7456"/>
    <w:lvl w:ilvl="0" w:tplc="8482FB7A">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2065BA"/>
    <w:multiLevelType w:val="hybridMultilevel"/>
    <w:tmpl w:val="8E12B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E32EFE"/>
    <w:multiLevelType w:val="hybridMultilevel"/>
    <w:tmpl w:val="EFF423C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BB189A"/>
    <w:multiLevelType w:val="hybridMultilevel"/>
    <w:tmpl w:val="65B2C9B2"/>
    <w:lvl w:ilvl="0" w:tplc="3D16D332">
      <w:start w:val="1"/>
      <w:numFmt w:val="bullet"/>
      <w:lvlText w:val="-"/>
      <w:lvlJc w:val="left"/>
      <w:pPr>
        <w:ind w:left="720" w:hanging="360"/>
      </w:pPr>
      <w:rPr>
        <w:rFonts w:ascii="Aptos" w:hAnsi="Aptos" w:hint="default"/>
      </w:rPr>
    </w:lvl>
    <w:lvl w:ilvl="1" w:tplc="D7382208">
      <w:start w:val="1"/>
      <w:numFmt w:val="bullet"/>
      <w:lvlText w:val="o"/>
      <w:lvlJc w:val="left"/>
      <w:pPr>
        <w:ind w:left="1440" w:hanging="360"/>
      </w:pPr>
      <w:rPr>
        <w:rFonts w:ascii="Courier New" w:hAnsi="Courier New" w:hint="default"/>
      </w:rPr>
    </w:lvl>
    <w:lvl w:ilvl="2" w:tplc="FEB884C0">
      <w:start w:val="1"/>
      <w:numFmt w:val="bullet"/>
      <w:lvlText w:val=""/>
      <w:lvlJc w:val="left"/>
      <w:pPr>
        <w:ind w:left="2160" w:hanging="360"/>
      </w:pPr>
      <w:rPr>
        <w:rFonts w:ascii="Wingdings" w:hAnsi="Wingdings" w:hint="default"/>
      </w:rPr>
    </w:lvl>
    <w:lvl w:ilvl="3" w:tplc="4A6A4104">
      <w:start w:val="1"/>
      <w:numFmt w:val="bullet"/>
      <w:lvlText w:val=""/>
      <w:lvlJc w:val="left"/>
      <w:pPr>
        <w:ind w:left="2880" w:hanging="360"/>
      </w:pPr>
      <w:rPr>
        <w:rFonts w:ascii="Symbol" w:hAnsi="Symbol" w:hint="default"/>
      </w:rPr>
    </w:lvl>
    <w:lvl w:ilvl="4" w:tplc="A942B4F6">
      <w:start w:val="1"/>
      <w:numFmt w:val="bullet"/>
      <w:lvlText w:val="o"/>
      <w:lvlJc w:val="left"/>
      <w:pPr>
        <w:ind w:left="3600" w:hanging="360"/>
      </w:pPr>
      <w:rPr>
        <w:rFonts w:ascii="Courier New" w:hAnsi="Courier New" w:hint="default"/>
      </w:rPr>
    </w:lvl>
    <w:lvl w:ilvl="5" w:tplc="F75ADAD4">
      <w:start w:val="1"/>
      <w:numFmt w:val="bullet"/>
      <w:lvlText w:val=""/>
      <w:lvlJc w:val="left"/>
      <w:pPr>
        <w:ind w:left="4320" w:hanging="360"/>
      </w:pPr>
      <w:rPr>
        <w:rFonts w:ascii="Wingdings" w:hAnsi="Wingdings" w:hint="default"/>
      </w:rPr>
    </w:lvl>
    <w:lvl w:ilvl="6" w:tplc="94200D1E">
      <w:start w:val="1"/>
      <w:numFmt w:val="bullet"/>
      <w:lvlText w:val=""/>
      <w:lvlJc w:val="left"/>
      <w:pPr>
        <w:ind w:left="5040" w:hanging="360"/>
      </w:pPr>
      <w:rPr>
        <w:rFonts w:ascii="Symbol" w:hAnsi="Symbol" w:hint="default"/>
      </w:rPr>
    </w:lvl>
    <w:lvl w:ilvl="7" w:tplc="81DC5956">
      <w:start w:val="1"/>
      <w:numFmt w:val="bullet"/>
      <w:lvlText w:val="o"/>
      <w:lvlJc w:val="left"/>
      <w:pPr>
        <w:ind w:left="5760" w:hanging="360"/>
      </w:pPr>
      <w:rPr>
        <w:rFonts w:ascii="Courier New" w:hAnsi="Courier New" w:hint="default"/>
      </w:rPr>
    </w:lvl>
    <w:lvl w:ilvl="8" w:tplc="BAC0EF0A">
      <w:start w:val="1"/>
      <w:numFmt w:val="bullet"/>
      <w:lvlText w:val=""/>
      <w:lvlJc w:val="left"/>
      <w:pPr>
        <w:ind w:left="6480" w:hanging="360"/>
      </w:pPr>
      <w:rPr>
        <w:rFonts w:ascii="Wingdings" w:hAnsi="Wingdings" w:hint="default"/>
      </w:rPr>
    </w:lvl>
  </w:abstractNum>
  <w:abstractNum w:abstractNumId="31" w15:restartNumberingAfterBreak="0">
    <w:nsid w:val="47D10828"/>
    <w:multiLevelType w:val="hybridMultilevel"/>
    <w:tmpl w:val="B6E28AB0"/>
    <w:lvl w:ilvl="0" w:tplc="05BE8918">
      <w:start w:val="1"/>
      <w:numFmt w:val="bullet"/>
      <w:lvlText w:val="·"/>
      <w:lvlJc w:val="left"/>
      <w:pPr>
        <w:ind w:left="720" w:hanging="360"/>
      </w:pPr>
      <w:rPr>
        <w:rFonts w:ascii="Symbol" w:hAnsi="Symbol" w:hint="default"/>
      </w:rPr>
    </w:lvl>
    <w:lvl w:ilvl="1" w:tplc="C69283FE">
      <w:start w:val="1"/>
      <w:numFmt w:val="bullet"/>
      <w:lvlText w:val="o"/>
      <w:lvlJc w:val="left"/>
      <w:pPr>
        <w:ind w:left="1440" w:hanging="360"/>
      </w:pPr>
      <w:rPr>
        <w:rFonts w:ascii="Courier New" w:hAnsi="Courier New" w:hint="default"/>
      </w:rPr>
    </w:lvl>
    <w:lvl w:ilvl="2" w:tplc="064E4A9C">
      <w:start w:val="1"/>
      <w:numFmt w:val="bullet"/>
      <w:lvlText w:val=""/>
      <w:lvlJc w:val="left"/>
      <w:pPr>
        <w:ind w:left="2160" w:hanging="360"/>
      </w:pPr>
      <w:rPr>
        <w:rFonts w:ascii="Wingdings" w:hAnsi="Wingdings" w:hint="default"/>
      </w:rPr>
    </w:lvl>
    <w:lvl w:ilvl="3" w:tplc="A168B412">
      <w:start w:val="1"/>
      <w:numFmt w:val="bullet"/>
      <w:lvlText w:val=""/>
      <w:lvlJc w:val="left"/>
      <w:pPr>
        <w:ind w:left="2880" w:hanging="360"/>
      </w:pPr>
      <w:rPr>
        <w:rFonts w:ascii="Symbol" w:hAnsi="Symbol" w:hint="default"/>
      </w:rPr>
    </w:lvl>
    <w:lvl w:ilvl="4" w:tplc="875078A2">
      <w:start w:val="1"/>
      <w:numFmt w:val="bullet"/>
      <w:lvlText w:val="o"/>
      <w:lvlJc w:val="left"/>
      <w:pPr>
        <w:ind w:left="3600" w:hanging="360"/>
      </w:pPr>
      <w:rPr>
        <w:rFonts w:ascii="Courier New" w:hAnsi="Courier New" w:hint="default"/>
      </w:rPr>
    </w:lvl>
    <w:lvl w:ilvl="5" w:tplc="7A6CF904">
      <w:start w:val="1"/>
      <w:numFmt w:val="bullet"/>
      <w:lvlText w:val=""/>
      <w:lvlJc w:val="left"/>
      <w:pPr>
        <w:ind w:left="4320" w:hanging="360"/>
      </w:pPr>
      <w:rPr>
        <w:rFonts w:ascii="Wingdings" w:hAnsi="Wingdings" w:hint="default"/>
      </w:rPr>
    </w:lvl>
    <w:lvl w:ilvl="6" w:tplc="D6EE11D2">
      <w:start w:val="1"/>
      <w:numFmt w:val="bullet"/>
      <w:lvlText w:val=""/>
      <w:lvlJc w:val="left"/>
      <w:pPr>
        <w:ind w:left="5040" w:hanging="360"/>
      </w:pPr>
      <w:rPr>
        <w:rFonts w:ascii="Symbol" w:hAnsi="Symbol" w:hint="default"/>
      </w:rPr>
    </w:lvl>
    <w:lvl w:ilvl="7" w:tplc="03727D9C">
      <w:start w:val="1"/>
      <w:numFmt w:val="bullet"/>
      <w:lvlText w:val="o"/>
      <w:lvlJc w:val="left"/>
      <w:pPr>
        <w:ind w:left="5760" w:hanging="360"/>
      </w:pPr>
      <w:rPr>
        <w:rFonts w:ascii="Courier New" w:hAnsi="Courier New" w:hint="default"/>
      </w:rPr>
    </w:lvl>
    <w:lvl w:ilvl="8" w:tplc="2BEAF8C0">
      <w:start w:val="1"/>
      <w:numFmt w:val="bullet"/>
      <w:lvlText w:val=""/>
      <w:lvlJc w:val="left"/>
      <w:pPr>
        <w:ind w:left="6480" w:hanging="360"/>
      </w:pPr>
      <w:rPr>
        <w:rFonts w:ascii="Wingdings" w:hAnsi="Wingdings" w:hint="default"/>
      </w:rPr>
    </w:lvl>
  </w:abstractNum>
  <w:abstractNum w:abstractNumId="32" w15:restartNumberingAfterBreak="0">
    <w:nsid w:val="4DC25D50"/>
    <w:multiLevelType w:val="multilevel"/>
    <w:tmpl w:val="360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902E8E"/>
    <w:multiLevelType w:val="hybridMultilevel"/>
    <w:tmpl w:val="67B4D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0E81B3F"/>
    <w:multiLevelType w:val="hybridMultilevel"/>
    <w:tmpl w:val="B9EC363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3035C6C"/>
    <w:multiLevelType w:val="hybridMultilevel"/>
    <w:tmpl w:val="95AC6A80"/>
    <w:lvl w:ilvl="0" w:tplc="7A66F730">
      <w:start w:val="5"/>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54271290"/>
    <w:multiLevelType w:val="hybridMultilevel"/>
    <w:tmpl w:val="BF20AAA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3C73BD"/>
    <w:multiLevelType w:val="hybridMultilevel"/>
    <w:tmpl w:val="CC1A7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81E414A"/>
    <w:multiLevelType w:val="hybridMultilevel"/>
    <w:tmpl w:val="CAF47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5236A1"/>
    <w:multiLevelType w:val="hybridMultilevel"/>
    <w:tmpl w:val="2B0253C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AF246C"/>
    <w:multiLevelType w:val="hybridMultilevel"/>
    <w:tmpl w:val="D5E65D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F079BC5"/>
    <w:multiLevelType w:val="hybridMultilevel"/>
    <w:tmpl w:val="26781366"/>
    <w:lvl w:ilvl="0" w:tplc="7EA4D106">
      <w:start w:val="1"/>
      <w:numFmt w:val="bullet"/>
      <w:lvlText w:val="-"/>
      <w:lvlJc w:val="left"/>
      <w:pPr>
        <w:ind w:left="720" w:hanging="360"/>
      </w:pPr>
      <w:rPr>
        <w:rFonts w:ascii="Aptos" w:hAnsi="Aptos" w:hint="default"/>
      </w:rPr>
    </w:lvl>
    <w:lvl w:ilvl="1" w:tplc="6910F92A">
      <w:start w:val="1"/>
      <w:numFmt w:val="bullet"/>
      <w:lvlText w:val="o"/>
      <w:lvlJc w:val="left"/>
      <w:pPr>
        <w:ind w:left="1440" w:hanging="360"/>
      </w:pPr>
      <w:rPr>
        <w:rFonts w:ascii="Courier New" w:hAnsi="Courier New" w:hint="default"/>
      </w:rPr>
    </w:lvl>
    <w:lvl w:ilvl="2" w:tplc="7E2245BA">
      <w:start w:val="1"/>
      <w:numFmt w:val="bullet"/>
      <w:lvlText w:val=""/>
      <w:lvlJc w:val="left"/>
      <w:pPr>
        <w:ind w:left="2160" w:hanging="360"/>
      </w:pPr>
      <w:rPr>
        <w:rFonts w:ascii="Wingdings" w:hAnsi="Wingdings" w:hint="default"/>
      </w:rPr>
    </w:lvl>
    <w:lvl w:ilvl="3" w:tplc="3E34E56C">
      <w:start w:val="1"/>
      <w:numFmt w:val="bullet"/>
      <w:lvlText w:val=""/>
      <w:lvlJc w:val="left"/>
      <w:pPr>
        <w:ind w:left="2880" w:hanging="360"/>
      </w:pPr>
      <w:rPr>
        <w:rFonts w:ascii="Symbol" w:hAnsi="Symbol" w:hint="default"/>
      </w:rPr>
    </w:lvl>
    <w:lvl w:ilvl="4" w:tplc="02F025C4">
      <w:start w:val="1"/>
      <w:numFmt w:val="bullet"/>
      <w:lvlText w:val="o"/>
      <w:lvlJc w:val="left"/>
      <w:pPr>
        <w:ind w:left="3600" w:hanging="360"/>
      </w:pPr>
      <w:rPr>
        <w:rFonts w:ascii="Courier New" w:hAnsi="Courier New" w:hint="default"/>
      </w:rPr>
    </w:lvl>
    <w:lvl w:ilvl="5" w:tplc="2E500A06">
      <w:start w:val="1"/>
      <w:numFmt w:val="bullet"/>
      <w:lvlText w:val=""/>
      <w:lvlJc w:val="left"/>
      <w:pPr>
        <w:ind w:left="4320" w:hanging="360"/>
      </w:pPr>
      <w:rPr>
        <w:rFonts w:ascii="Wingdings" w:hAnsi="Wingdings" w:hint="default"/>
      </w:rPr>
    </w:lvl>
    <w:lvl w:ilvl="6" w:tplc="CF4646F2">
      <w:start w:val="1"/>
      <w:numFmt w:val="bullet"/>
      <w:lvlText w:val=""/>
      <w:lvlJc w:val="left"/>
      <w:pPr>
        <w:ind w:left="5040" w:hanging="360"/>
      </w:pPr>
      <w:rPr>
        <w:rFonts w:ascii="Symbol" w:hAnsi="Symbol" w:hint="default"/>
      </w:rPr>
    </w:lvl>
    <w:lvl w:ilvl="7" w:tplc="023ABA4E">
      <w:start w:val="1"/>
      <w:numFmt w:val="bullet"/>
      <w:lvlText w:val="o"/>
      <w:lvlJc w:val="left"/>
      <w:pPr>
        <w:ind w:left="5760" w:hanging="360"/>
      </w:pPr>
      <w:rPr>
        <w:rFonts w:ascii="Courier New" w:hAnsi="Courier New" w:hint="default"/>
      </w:rPr>
    </w:lvl>
    <w:lvl w:ilvl="8" w:tplc="C1F0A500">
      <w:start w:val="1"/>
      <w:numFmt w:val="bullet"/>
      <w:lvlText w:val=""/>
      <w:lvlJc w:val="left"/>
      <w:pPr>
        <w:ind w:left="6480" w:hanging="360"/>
      </w:pPr>
      <w:rPr>
        <w:rFonts w:ascii="Wingdings" w:hAnsi="Wingdings" w:hint="default"/>
      </w:rPr>
    </w:lvl>
  </w:abstractNum>
  <w:abstractNum w:abstractNumId="42" w15:restartNumberingAfterBreak="0">
    <w:nsid w:val="5F2CC82B"/>
    <w:multiLevelType w:val="hybridMultilevel"/>
    <w:tmpl w:val="A7340E28"/>
    <w:lvl w:ilvl="0" w:tplc="9A727BC0">
      <w:start w:val="1"/>
      <w:numFmt w:val="bullet"/>
      <w:lvlText w:val="-"/>
      <w:lvlJc w:val="left"/>
      <w:pPr>
        <w:ind w:left="720" w:hanging="360"/>
      </w:pPr>
      <w:rPr>
        <w:rFonts w:ascii="Aptos" w:hAnsi="Aptos" w:hint="default"/>
      </w:rPr>
    </w:lvl>
    <w:lvl w:ilvl="1" w:tplc="E02448B0">
      <w:start w:val="1"/>
      <w:numFmt w:val="bullet"/>
      <w:lvlText w:val="o"/>
      <w:lvlJc w:val="left"/>
      <w:pPr>
        <w:ind w:left="1440" w:hanging="360"/>
      </w:pPr>
      <w:rPr>
        <w:rFonts w:ascii="Courier New" w:hAnsi="Courier New" w:hint="default"/>
      </w:rPr>
    </w:lvl>
    <w:lvl w:ilvl="2" w:tplc="FFA4C5E8">
      <w:start w:val="1"/>
      <w:numFmt w:val="bullet"/>
      <w:lvlText w:val=""/>
      <w:lvlJc w:val="left"/>
      <w:pPr>
        <w:ind w:left="2160" w:hanging="360"/>
      </w:pPr>
      <w:rPr>
        <w:rFonts w:ascii="Wingdings" w:hAnsi="Wingdings" w:hint="default"/>
      </w:rPr>
    </w:lvl>
    <w:lvl w:ilvl="3" w:tplc="D22EDBF8">
      <w:start w:val="1"/>
      <w:numFmt w:val="bullet"/>
      <w:lvlText w:val=""/>
      <w:lvlJc w:val="left"/>
      <w:pPr>
        <w:ind w:left="2880" w:hanging="360"/>
      </w:pPr>
      <w:rPr>
        <w:rFonts w:ascii="Symbol" w:hAnsi="Symbol" w:hint="default"/>
      </w:rPr>
    </w:lvl>
    <w:lvl w:ilvl="4" w:tplc="390E3990">
      <w:start w:val="1"/>
      <w:numFmt w:val="bullet"/>
      <w:lvlText w:val="o"/>
      <w:lvlJc w:val="left"/>
      <w:pPr>
        <w:ind w:left="3600" w:hanging="360"/>
      </w:pPr>
      <w:rPr>
        <w:rFonts w:ascii="Courier New" w:hAnsi="Courier New" w:hint="default"/>
      </w:rPr>
    </w:lvl>
    <w:lvl w:ilvl="5" w:tplc="ADA62E86">
      <w:start w:val="1"/>
      <w:numFmt w:val="bullet"/>
      <w:lvlText w:val=""/>
      <w:lvlJc w:val="left"/>
      <w:pPr>
        <w:ind w:left="4320" w:hanging="360"/>
      </w:pPr>
      <w:rPr>
        <w:rFonts w:ascii="Wingdings" w:hAnsi="Wingdings" w:hint="default"/>
      </w:rPr>
    </w:lvl>
    <w:lvl w:ilvl="6" w:tplc="30F0ADA8">
      <w:start w:val="1"/>
      <w:numFmt w:val="bullet"/>
      <w:lvlText w:val=""/>
      <w:lvlJc w:val="left"/>
      <w:pPr>
        <w:ind w:left="5040" w:hanging="360"/>
      </w:pPr>
      <w:rPr>
        <w:rFonts w:ascii="Symbol" w:hAnsi="Symbol" w:hint="default"/>
      </w:rPr>
    </w:lvl>
    <w:lvl w:ilvl="7" w:tplc="7C263DC0">
      <w:start w:val="1"/>
      <w:numFmt w:val="bullet"/>
      <w:lvlText w:val="o"/>
      <w:lvlJc w:val="left"/>
      <w:pPr>
        <w:ind w:left="5760" w:hanging="360"/>
      </w:pPr>
      <w:rPr>
        <w:rFonts w:ascii="Courier New" w:hAnsi="Courier New" w:hint="default"/>
      </w:rPr>
    </w:lvl>
    <w:lvl w:ilvl="8" w:tplc="4CD29F3C">
      <w:start w:val="1"/>
      <w:numFmt w:val="bullet"/>
      <w:lvlText w:val=""/>
      <w:lvlJc w:val="left"/>
      <w:pPr>
        <w:ind w:left="6480" w:hanging="360"/>
      </w:pPr>
      <w:rPr>
        <w:rFonts w:ascii="Wingdings" w:hAnsi="Wingdings" w:hint="default"/>
      </w:rPr>
    </w:lvl>
  </w:abstractNum>
  <w:abstractNum w:abstractNumId="43" w15:restartNumberingAfterBreak="0">
    <w:nsid w:val="60706523"/>
    <w:multiLevelType w:val="hybridMultilevel"/>
    <w:tmpl w:val="4D182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3032686"/>
    <w:multiLevelType w:val="hybridMultilevel"/>
    <w:tmpl w:val="64BCE1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1211DD"/>
    <w:multiLevelType w:val="hybridMultilevel"/>
    <w:tmpl w:val="EAA2C998"/>
    <w:lvl w:ilvl="0" w:tplc="0413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BE6230"/>
    <w:multiLevelType w:val="hybridMultilevel"/>
    <w:tmpl w:val="2894FC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937AE1"/>
    <w:multiLevelType w:val="hybridMultilevel"/>
    <w:tmpl w:val="71705974"/>
    <w:lvl w:ilvl="0" w:tplc="1A429DC6">
      <w:start w:val="1"/>
      <w:numFmt w:val="bullet"/>
      <w:lvlText w:val="-"/>
      <w:lvlJc w:val="left"/>
      <w:pPr>
        <w:ind w:left="720" w:hanging="360"/>
      </w:pPr>
      <w:rPr>
        <w:rFonts w:ascii="Aptos" w:hAnsi="Aptos" w:hint="default"/>
      </w:rPr>
    </w:lvl>
    <w:lvl w:ilvl="1" w:tplc="56CA1DEE">
      <w:start w:val="1"/>
      <w:numFmt w:val="bullet"/>
      <w:lvlText w:val="o"/>
      <w:lvlJc w:val="left"/>
      <w:pPr>
        <w:ind w:left="1440" w:hanging="360"/>
      </w:pPr>
      <w:rPr>
        <w:rFonts w:ascii="Courier New" w:hAnsi="Courier New" w:hint="default"/>
      </w:rPr>
    </w:lvl>
    <w:lvl w:ilvl="2" w:tplc="A8D6B4EC">
      <w:start w:val="1"/>
      <w:numFmt w:val="bullet"/>
      <w:lvlText w:val=""/>
      <w:lvlJc w:val="left"/>
      <w:pPr>
        <w:ind w:left="2160" w:hanging="360"/>
      </w:pPr>
      <w:rPr>
        <w:rFonts w:ascii="Wingdings" w:hAnsi="Wingdings" w:hint="default"/>
      </w:rPr>
    </w:lvl>
    <w:lvl w:ilvl="3" w:tplc="618A858A">
      <w:start w:val="1"/>
      <w:numFmt w:val="bullet"/>
      <w:lvlText w:val=""/>
      <w:lvlJc w:val="left"/>
      <w:pPr>
        <w:ind w:left="2880" w:hanging="360"/>
      </w:pPr>
      <w:rPr>
        <w:rFonts w:ascii="Symbol" w:hAnsi="Symbol" w:hint="default"/>
      </w:rPr>
    </w:lvl>
    <w:lvl w:ilvl="4" w:tplc="9642EE7A">
      <w:start w:val="1"/>
      <w:numFmt w:val="bullet"/>
      <w:lvlText w:val="o"/>
      <w:lvlJc w:val="left"/>
      <w:pPr>
        <w:ind w:left="3600" w:hanging="360"/>
      </w:pPr>
      <w:rPr>
        <w:rFonts w:ascii="Courier New" w:hAnsi="Courier New" w:hint="default"/>
      </w:rPr>
    </w:lvl>
    <w:lvl w:ilvl="5" w:tplc="86D2ABF6">
      <w:start w:val="1"/>
      <w:numFmt w:val="bullet"/>
      <w:lvlText w:val=""/>
      <w:lvlJc w:val="left"/>
      <w:pPr>
        <w:ind w:left="4320" w:hanging="360"/>
      </w:pPr>
      <w:rPr>
        <w:rFonts w:ascii="Wingdings" w:hAnsi="Wingdings" w:hint="default"/>
      </w:rPr>
    </w:lvl>
    <w:lvl w:ilvl="6" w:tplc="A73E6324">
      <w:start w:val="1"/>
      <w:numFmt w:val="bullet"/>
      <w:lvlText w:val=""/>
      <w:lvlJc w:val="left"/>
      <w:pPr>
        <w:ind w:left="5040" w:hanging="360"/>
      </w:pPr>
      <w:rPr>
        <w:rFonts w:ascii="Symbol" w:hAnsi="Symbol" w:hint="default"/>
      </w:rPr>
    </w:lvl>
    <w:lvl w:ilvl="7" w:tplc="BB5EAF5C">
      <w:start w:val="1"/>
      <w:numFmt w:val="bullet"/>
      <w:lvlText w:val="o"/>
      <w:lvlJc w:val="left"/>
      <w:pPr>
        <w:ind w:left="5760" w:hanging="360"/>
      </w:pPr>
      <w:rPr>
        <w:rFonts w:ascii="Courier New" w:hAnsi="Courier New" w:hint="default"/>
      </w:rPr>
    </w:lvl>
    <w:lvl w:ilvl="8" w:tplc="D9C0587E">
      <w:start w:val="1"/>
      <w:numFmt w:val="bullet"/>
      <w:lvlText w:val=""/>
      <w:lvlJc w:val="left"/>
      <w:pPr>
        <w:ind w:left="6480" w:hanging="360"/>
      </w:pPr>
      <w:rPr>
        <w:rFonts w:ascii="Wingdings" w:hAnsi="Wingdings" w:hint="default"/>
      </w:rPr>
    </w:lvl>
  </w:abstractNum>
  <w:num w:numId="1" w16cid:durableId="455028347">
    <w:abstractNumId w:val="30"/>
  </w:num>
  <w:num w:numId="2" w16cid:durableId="24672192">
    <w:abstractNumId w:val="21"/>
  </w:num>
  <w:num w:numId="3" w16cid:durableId="794369014">
    <w:abstractNumId w:val="41"/>
  </w:num>
  <w:num w:numId="4" w16cid:durableId="877084472">
    <w:abstractNumId w:val="31"/>
  </w:num>
  <w:num w:numId="5" w16cid:durableId="947544735">
    <w:abstractNumId w:val="19"/>
  </w:num>
  <w:num w:numId="6" w16cid:durableId="1798330772">
    <w:abstractNumId w:val="23"/>
  </w:num>
  <w:num w:numId="7" w16cid:durableId="1690795593">
    <w:abstractNumId w:val="11"/>
  </w:num>
  <w:num w:numId="8" w16cid:durableId="970524753">
    <w:abstractNumId w:val="20"/>
  </w:num>
  <w:num w:numId="9" w16cid:durableId="1424453965">
    <w:abstractNumId w:val="16"/>
  </w:num>
  <w:num w:numId="10" w16cid:durableId="1998921092">
    <w:abstractNumId w:val="45"/>
  </w:num>
  <w:num w:numId="11" w16cid:durableId="850607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4278450">
    <w:abstractNumId w:val="46"/>
  </w:num>
  <w:num w:numId="13" w16cid:durableId="778573382">
    <w:abstractNumId w:val="15"/>
  </w:num>
  <w:num w:numId="14" w16cid:durableId="1949576812">
    <w:abstractNumId w:val="14"/>
  </w:num>
  <w:num w:numId="15" w16cid:durableId="698821522">
    <w:abstractNumId w:val="25"/>
  </w:num>
  <w:num w:numId="16" w16cid:durableId="693849964">
    <w:abstractNumId w:val="0"/>
  </w:num>
  <w:num w:numId="17" w16cid:durableId="1945652149">
    <w:abstractNumId w:val="27"/>
  </w:num>
  <w:num w:numId="18" w16cid:durableId="1432700523">
    <w:abstractNumId w:val="44"/>
  </w:num>
  <w:num w:numId="19" w16cid:durableId="351146490">
    <w:abstractNumId w:val="43"/>
  </w:num>
  <w:num w:numId="20" w16cid:durableId="477456216">
    <w:abstractNumId w:val="40"/>
  </w:num>
  <w:num w:numId="21" w16cid:durableId="1316952395">
    <w:abstractNumId w:val="5"/>
  </w:num>
  <w:num w:numId="22" w16cid:durableId="1486360980">
    <w:abstractNumId w:val="9"/>
  </w:num>
  <w:num w:numId="23" w16cid:durableId="979845642">
    <w:abstractNumId w:val="26"/>
  </w:num>
  <w:num w:numId="24" w16cid:durableId="151652046">
    <w:abstractNumId w:val="28"/>
  </w:num>
  <w:num w:numId="25" w16cid:durableId="2055958399">
    <w:abstractNumId w:val="12"/>
  </w:num>
  <w:num w:numId="26" w16cid:durableId="1183590562">
    <w:abstractNumId w:val="22"/>
  </w:num>
  <w:num w:numId="27" w16cid:durableId="1455175715">
    <w:abstractNumId w:val="36"/>
  </w:num>
  <w:num w:numId="28" w16cid:durableId="1337734942">
    <w:abstractNumId w:val="18"/>
  </w:num>
  <w:num w:numId="29" w16cid:durableId="843545105">
    <w:abstractNumId w:val="13"/>
  </w:num>
  <w:num w:numId="30" w16cid:durableId="275529302">
    <w:abstractNumId w:val="6"/>
  </w:num>
  <w:num w:numId="31" w16cid:durableId="1897356958">
    <w:abstractNumId w:val="39"/>
  </w:num>
  <w:num w:numId="32" w16cid:durableId="368990061">
    <w:abstractNumId w:val="7"/>
  </w:num>
  <w:num w:numId="33" w16cid:durableId="1455828937">
    <w:abstractNumId w:val="8"/>
  </w:num>
  <w:num w:numId="34" w16cid:durableId="324166068">
    <w:abstractNumId w:val="47"/>
  </w:num>
  <w:num w:numId="35" w16cid:durableId="1758282594">
    <w:abstractNumId w:val="42"/>
  </w:num>
  <w:num w:numId="36" w16cid:durableId="1671905381">
    <w:abstractNumId w:val="4"/>
  </w:num>
  <w:num w:numId="37" w16cid:durableId="366179349">
    <w:abstractNumId w:val="10"/>
  </w:num>
  <w:num w:numId="38" w16cid:durableId="1667710564">
    <w:abstractNumId w:val="24"/>
  </w:num>
  <w:num w:numId="39" w16cid:durableId="2001884265">
    <w:abstractNumId w:val="3"/>
  </w:num>
  <w:num w:numId="40" w16cid:durableId="1670132804">
    <w:abstractNumId w:val="33"/>
  </w:num>
  <w:num w:numId="41" w16cid:durableId="1355226666">
    <w:abstractNumId w:val="1"/>
  </w:num>
  <w:num w:numId="42" w16cid:durableId="2123068350">
    <w:abstractNumId w:val="34"/>
  </w:num>
  <w:num w:numId="43" w16cid:durableId="508712286">
    <w:abstractNumId w:val="35"/>
  </w:num>
  <w:num w:numId="44" w16cid:durableId="137655369">
    <w:abstractNumId w:val="37"/>
  </w:num>
  <w:num w:numId="45" w16cid:durableId="1543979862">
    <w:abstractNumId w:val="32"/>
  </w:num>
  <w:num w:numId="46" w16cid:durableId="1384990042">
    <w:abstractNumId w:val="38"/>
  </w:num>
  <w:num w:numId="47" w16cid:durableId="7485306">
    <w:abstractNumId w:val="29"/>
  </w:num>
  <w:num w:numId="48" w16cid:durableId="147019936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97"/>
    <w:rsid w:val="00000757"/>
    <w:rsid w:val="00001917"/>
    <w:rsid w:val="00001EFA"/>
    <w:rsid w:val="00002688"/>
    <w:rsid w:val="0000341F"/>
    <w:rsid w:val="00003564"/>
    <w:rsid w:val="00003A47"/>
    <w:rsid w:val="00003AA7"/>
    <w:rsid w:val="00006544"/>
    <w:rsid w:val="00007B4B"/>
    <w:rsid w:val="0001005D"/>
    <w:rsid w:val="000102A2"/>
    <w:rsid w:val="00010583"/>
    <w:rsid w:val="000105F5"/>
    <w:rsid w:val="00010908"/>
    <w:rsid w:val="0001093B"/>
    <w:rsid w:val="000109D3"/>
    <w:rsid w:val="0001172E"/>
    <w:rsid w:val="000123C8"/>
    <w:rsid w:val="00012856"/>
    <w:rsid w:val="0001321C"/>
    <w:rsid w:val="00013721"/>
    <w:rsid w:val="00013E28"/>
    <w:rsid w:val="0001416D"/>
    <w:rsid w:val="000152BE"/>
    <w:rsid w:val="00015883"/>
    <w:rsid w:val="00015966"/>
    <w:rsid w:val="000163DE"/>
    <w:rsid w:val="000165CF"/>
    <w:rsid w:val="00016CFC"/>
    <w:rsid w:val="00016DBA"/>
    <w:rsid w:val="000174F8"/>
    <w:rsid w:val="0001771D"/>
    <w:rsid w:val="0002068A"/>
    <w:rsid w:val="0002126C"/>
    <w:rsid w:val="000223AB"/>
    <w:rsid w:val="000228D9"/>
    <w:rsid w:val="00022A49"/>
    <w:rsid w:val="00022E6C"/>
    <w:rsid w:val="0002327B"/>
    <w:rsid w:val="0002421C"/>
    <w:rsid w:val="0002480C"/>
    <w:rsid w:val="000248F6"/>
    <w:rsid w:val="000259D7"/>
    <w:rsid w:val="00025E5A"/>
    <w:rsid w:val="00025F7D"/>
    <w:rsid w:val="00026B25"/>
    <w:rsid w:val="000275BA"/>
    <w:rsid w:val="00027C9D"/>
    <w:rsid w:val="00031699"/>
    <w:rsid w:val="00032358"/>
    <w:rsid w:val="0003255A"/>
    <w:rsid w:val="000327C1"/>
    <w:rsid w:val="000332FC"/>
    <w:rsid w:val="0003375A"/>
    <w:rsid w:val="00033A22"/>
    <w:rsid w:val="000346E5"/>
    <w:rsid w:val="000347EC"/>
    <w:rsid w:val="000354FC"/>
    <w:rsid w:val="0003631D"/>
    <w:rsid w:val="00036662"/>
    <w:rsid w:val="00036C97"/>
    <w:rsid w:val="00037A57"/>
    <w:rsid w:val="00037CC5"/>
    <w:rsid w:val="00037CF6"/>
    <w:rsid w:val="00037E35"/>
    <w:rsid w:val="000408CF"/>
    <w:rsid w:val="00041129"/>
    <w:rsid w:val="00041496"/>
    <w:rsid w:val="000431EC"/>
    <w:rsid w:val="00043270"/>
    <w:rsid w:val="00043725"/>
    <w:rsid w:val="00043A41"/>
    <w:rsid w:val="00044686"/>
    <w:rsid w:val="00045CD5"/>
    <w:rsid w:val="000462EA"/>
    <w:rsid w:val="00046C44"/>
    <w:rsid w:val="00050038"/>
    <w:rsid w:val="00050723"/>
    <w:rsid w:val="00050A3E"/>
    <w:rsid w:val="00051C59"/>
    <w:rsid w:val="000521C6"/>
    <w:rsid w:val="0005319C"/>
    <w:rsid w:val="000532B7"/>
    <w:rsid w:val="00056A0F"/>
    <w:rsid w:val="00056B02"/>
    <w:rsid w:val="000601F9"/>
    <w:rsid w:val="0006031A"/>
    <w:rsid w:val="00061BC1"/>
    <w:rsid w:val="000621E3"/>
    <w:rsid w:val="00063AFD"/>
    <w:rsid w:val="000651B1"/>
    <w:rsid w:val="00065516"/>
    <w:rsid w:val="00065E81"/>
    <w:rsid w:val="000671C4"/>
    <w:rsid w:val="0006741E"/>
    <w:rsid w:val="0007044D"/>
    <w:rsid w:val="0007053B"/>
    <w:rsid w:val="000707A3"/>
    <w:rsid w:val="00071414"/>
    <w:rsid w:val="0007150A"/>
    <w:rsid w:val="00071539"/>
    <w:rsid w:val="000721E8"/>
    <w:rsid w:val="00072370"/>
    <w:rsid w:val="00072703"/>
    <w:rsid w:val="00072DD4"/>
    <w:rsid w:val="00072E03"/>
    <w:rsid w:val="00073A6D"/>
    <w:rsid w:val="00074AF0"/>
    <w:rsid w:val="00075649"/>
    <w:rsid w:val="00075DC5"/>
    <w:rsid w:val="00075F62"/>
    <w:rsid w:val="00076373"/>
    <w:rsid w:val="000764CC"/>
    <w:rsid w:val="000768C8"/>
    <w:rsid w:val="00077618"/>
    <w:rsid w:val="00077799"/>
    <w:rsid w:val="0008037D"/>
    <w:rsid w:val="000804E7"/>
    <w:rsid w:val="00080D10"/>
    <w:rsid w:val="00082136"/>
    <w:rsid w:val="00083199"/>
    <w:rsid w:val="00083810"/>
    <w:rsid w:val="00083ACD"/>
    <w:rsid w:val="00084C5B"/>
    <w:rsid w:val="00084F04"/>
    <w:rsid w:val="00085136"/>
    <w:rsid w:val="00086845"/>
    <w:rsid w:val="00086A0E"/>
    <w:rsid w:val="00086C68"/>
    <w:rsid w:val="000874F7"/>
    <w:rsid w:val="0009006C"/>
    <w:rsid w:val="00090143"/>
    <w:rsid w:val="00092363"/>
    <w:rsid w:val="00093787"/>
    <w:rsid w:val="00093960"/>
    <w:rsid w:val="00094710"/>
    <w:rsid w:val="000965B2"/>
    <w:rsid w:val="00096A35"/>
    <w:rsid w:val="00096DE4"/>
    <w:rsid w:val="00097616"/>
    <w:rsid w:val="000A0029"/>
    <w:rsid w:val="000A0B74"/>
    <w:rsid w:val="000A166F"/>
    <w:rsid w:val="000A1791"/>
    <w:rsid w:val="000A2031"/>
    <w:rsid w:val="000A36BA"/>
    <w:rsid w:val="000A4580"/>
    <w:rsid w:val="000A5D4D"/>
    <w:rsid w:val="000A660E"/>
    <w:rsid w:val="000A6D11"/>
    <w:rsid w:val="000A6F9E"/>
    <w:rsid w:val="000A7A7A"/>
    <w:rsid w:val="000A7B61"/>
    <w:rsid w:val="000B15A5"/>
    <w:rsid w:val="000B19E4"/>
    <w:rsid w:val="000B2168"/>
    <w:rsid w:val="000B2AA5"/>
    <w:rsid w:val="000B2DFE"/>
    <w:rsid w:val="000B3061"/>
    <w:rsid w:val="000B3A0E"/>
    <w:rsid w:val="000B4FB7"/>
    <w:rsid w:val="000B6172"/>
    <w:rsid w:val="000B6FB4"/>
    <w:rsid w:val="000B728A"/>
    <w:rsid w:val="000B76BD"/>
    <w:rsid w:val="000C0ACD"/>
    <w:rsid w:val="000C11F4"/>
    <w:rsid w:val="000C156D"/>
    <w:rsid w:val="000C23BC"/>
    <w:rsid w:val="000C4419"/>
    <w:rsid w:val="000C48C1"/>
    <w:rsid w:val="000C54B6"/>
    <w:rsid w:val="000C57E7"/>
    <w:rsid w:val="000C59B4"/>
    <w:rsid w:val="000C74A0"/>
    <w:rsid w:val="000D0322"/>
    <w:rsid w:val="000D03D5"/>
    <w:rsid w:val="000D0DD1"/>
    <w:rsid w:val="000D1D2D"/>
    <w:rsid w:val="000D1E9B"/>
    <w:rsid w:val="000D27C2"/>
    <w:rsid w:val="000D2E10"/>
    <w:rsid w:val="000D2F10"/>
    <w:rsid w:val="000D49F6"/>
    <w:rsid w:val="000D5891"/>
    <w:rsid w:val="000D6D4F"/>
    <w:rsid w:val="000E198D"/>
    <w:rsid w:val="000E1D9B"/>
    <w:rsid w:val="000E2983"/>
    <w:rsid w:val="000E3402"/>
    <w:rsid w:val="000E48FD"/>
    <w:rsid w:val="000E5126"/>
    <w:rsid w:val="000E5270"/>
    <w:rsid w:val="000E55E2"/>
    <w:rsid w:val="000E59D1"/>
    <w:rsid w:val="000E5DAA"/>
    <w:rsid w:val="000E64D3"/>
    <w:rsid w:val="000E68C0"/>
    <w:rsid w:val="000E6A89"/>
    <w:rsid w:val="000E6A8F"/>
    <w:rsid w:val="000F0028"/>
    <w:rsid w:val="000F0397"/>
    <w:rsid w:val="000F0436"/>
    <w:rsid w:val="000F2DE2"/>
    <w:rsid w:val="000F2E98"/>
    <w:rsid w:val="000F2EBC"/>
    <w:rsid w:val="000F2F35"/>
    <w:rsid w:val="000F336D"/>
    <w:rsid w:val="000F3687"/>
    <w:rsid w:val="000F4334"/>
    <w:rsid w:val="000F45A8"/>
    <w:rsid w:val="000F4796"/>
    <w:rsid w:val="000F5805"/>
    <w:rsid w:val="000F61A2"/>
    <w:rsid w:val="000F623E"/>
    <w:rsid w:val="000F7705"/>
    <w:rsid w:val="00100361"/>
    <w:rsid w:val="001011DA"/>
    <w:rsid w:val="001026B5"/>
    <w:rsid w:val="00102AA4"/>
    <w:rsid w:val="00102C6A"/>
    <w:rsid w:val="0010383D"/>
    <w:rsid w:val="001044E3"/>
    <w:rsid w:val="00104EEA"/>
    <w:rsid w:val="001055F6"/>
    <w:rsid w:val="00105701"/>
    <w:rsid w:val="001063F0"/>
    <w:rsid w:val="00106B43"/>
    <w:rsid w:val="00106DEA"/>
    <w:rsid w:val="0010705A"/>
    <w:rsid w:val="00107583"/>
    <w:rsid w:val="001077DE"/>
    <w:rsid w:val="00107D91"/>
    <w:rsid w:val="001103B1"/>
    <w:rsid w:val="001107EF"/>
    <w:rsid w:val="001107F0"/>
    <w:rsid w:val="0011138D"/>
    <w:rsid w:val="0011257B"/>
    <w:rsid w:val="00112745"/>
    <w:rsid w:val="00113401"/>
    <w:rsid w:val="00113882"/>
    <w:rsid w:val="00113AFD"/>
    <w:rsid w:val="00113E7A"/>
    <w:rsid w:val="00114186"/>
    <w:rsid w:val="0011424E"/>
    <w:rsid w:val="00114408"/>
    <w:rsid w:val="001149CE"/>
    <w:rsid w:val="00115A26"/>
    <w:rsid w:val="0011678B"/>
    <w:rsid w:val="00116B84"/>
    <w:rsid w:val="0011746B"/>
    <w:rsid w:val="0011791F"/>
    <w:rsid w:val="00117A24"/>
    <w:rsid w:val="00117EAB"/>
    <w:rsid w:val="0012050A"/>
    <w:rsid w:val="00123BE8"/>
    <w:rsid w:val="00124345"/>
    <w:rsid w:val="001249D1"/>
    <w:rsid w:val="001265E4"/>
    <w:rsid w:val="001266C3"/>
    <w:rsid w:val="001277BF"/>
    <w:rsid w:val="00127BB3"/>
    <w:rsid w:val="001306FA"/>
    <w:rsid w:val="001316D8"/>
    <w:rsid w:val="001321C3"/>
    <w:rsid w:val="0013256D"/>
    <w:rsid w:val="00132CA9"/>
    <w:rsid w:val="001331CB"/>
    <w:rsid w:val="00134179"/>
    <w:rsid w:val="0013521E"/>
    <w:rsid w:val="001353D2"/>
    <w:rsid w:val="00135EFA"/>
    <w:rsid w:val="0013654A"/>
    <w:rsid w:val="00136F39"/>
    <w:rsid w:val="001376A8"/>
    <w:rsid w:val="00137824"/>
    <w:rsid w:val="00137E0B"/>
    <w:rsid w:val="00140216"/>
    <w:rsid w:val="001408FE"/>
    <w:rsid w:val="00140A06"/>
    <w:rsid w:val="00140E7F"/>
    <w:rsid w:val="00141116"/>
    <w:rsid w:val="001429C7"/>
    <w:rsid w:val="001434D7"/>
    <w:rsid w:val="001447DC"/>
    <w:rsid w:val="0014503E"/>
    <w:rsid w:val="00145397"/>
    <w:rsid w:val="0014545A"/>
    <w:rsid w:val="00145D9B"/>
    <w:rsid w:val="00146543"/>
    <w:rsid w:val="00146562"/>
    <w:rsid w:val="00146B8E"/>
    <w:rsid w:val="00146D33"/>
    <w:rsid w:val="00147361"/>
    <w:rsid w:val="0014745B"/>
    <w:rsid w:val="00149D7C"/>
    <w:rsid w:val="0015012D"/>
    <w:rsid w:val="001502FD"/>
    <w:rsid w:val="00150924"/>
    <w:rsid w:val="00152A36"/>
    <w:rsid w:val="00153BBE"/>
    <w:rsid w:val="001541F8"/>
    <w:rsid w:val="001546B2"/>
    <w:rsid w:val="00154B82"/>
    <w:rsid w:val="00154E24"/>
    <w:rsid w:val="00154FD5"/>
    <w:rsid w:val="00155338"/>
    <w:rsid w:val="0015665F"/>
    <w:rsid w:val="001566D0"/>
    <w:rsid w:val="00156C2B"/>
    <w:rsid w:val="00157253"/>
    <w:rsid w:val="0016070F"/>
    <w:rsid w:val="001613C2"/>
    <w:rsid w:val="001616F5"/>
    <w:rsid w:val="0016196B"/>
    <w:rsid w:val="00162CB3"/>
    <w:rsid w:val="00162CD9"/>
    <w:rsid w:val="00164273"/>
    <w:rsid w:val="001657CE"/>
    <w:rsid w:val="00165CD6"/>
    <w:rsid w:val="00165D2A"/>
    <w:rsid w:val="001662C2"/>
    <w:rsid w:val="00166CEA"/>
    <w:rsid w:val="00167389"/>
    <w:rsid w:val="001673FE"/>
    <w:rsid w:val="001700AA"/>
    <w:rsid w:val="00171FE8"/>
    <w:rsid w:val="00172909"/>
    <w:rsid w:val="0017297A"/>
    <w:rsid w:val="00173237"/>
    <w:rsid w:val="001734C4"/>
    <w:rsid w:val="0017507E"/>
    <w:rsid w:val="00175198"/>
    <w:rsid w:val="00176D5F"/>
    <w:rsid w:val="001772CA"/>
    <w:rsid w:val="00177DF0"/>
    <w:rsid w:val="00180074"/>
    <w:rsid w:val="001823D3"/>
    <w:rsid w:val="00182B76"/>
    <w:rsid w:val="001832A8"/>
    <w:rsid w:val="0018348E"/>
    <w:rsid w:val="00183F0A"/>
    <w:rsid w:val="00184626"/>
    <w:rsid w:val="00184E1E"/>
    <w:rsid w:val="00185BEA"/>
    <w:rsid w:val="00186072"/>
    <w:rsid w:val="00186226"/>
    <w:rsid w:val="0018653C"/>
    <w:rsid w:val="00186B2C"/>
    <w:rsid w:val="00186B40"/>
    <w:rsid w:val="00187799"/>
    <w:rsid w:val="0019063A"/>
    <w:rsid w:val="0019175C"/>
    <w:rsid w:val="00192B88"/>
    <w:rsid w:val="00192D4C"/>
    <w:rsid w:val="00194135"/>
    <w:rsid w:val="00194259"/>
    <w:rsid w:val="00194381"/>
    <w:rsid w:val="0019483D"/>
    <w:rsid w:val="001950F0"/>
    <w:rsid w:val="00195263"/>
    <w:rsid w:val="001952F8"/>
    <w:rsid w:val="00196228"/>
    <w:rsid w:val="00196335"/>
    <w:rsid w:val="001967FD"/>
    <w:rsid w:val="00197821"/>
    <w:rsid w:val="001A03E0"/>
    <w:rsid w:val="001A14E7"/>
    <w:rsid w:val="001A1819"/>
    <w:rsid w:val="001A194F"/>
    <w:rsid w:val="001A2926"/>
    <w:rsid w:val="001A3904"/>
    <w:rsid w:val="001A3CA4"/>
    <w:rsid w:val="001A5566"/>
    <w:rsid w:val="001A588B"/>
    <w:rsid w:val="001A5A08"/>
    <w:rsid w:val="001A5A50"/>
    <w:rsid w:val="001A5E5A"/>
    <w:rsid w:val="001A78D6"/>
    <w:rsid w:val="001A7FD7"/>
    <w:rsid w:val="001B1461"/>
    <w:rsid w:val="001B15A0"/>
    <w:rsid w:val="001B2A80"/>
    <w:rsid w:val="001B32B8"/>
    <w:rsid w:val="001B358C"/>
    <w:rsid w:val="001B460B"/>
    <w:rsid w:val="001B4616"/>
    <w:rsid w:val="001B56F5"/>
    <w:rsid w:val="001B6E8A"/>
    <w:rsid w:val="001B70BD"/>
    <w:rsid w:val="001B72CD"/>
    <w:rsid w:val="001B7B43"/>
    <w:rsid w:val="001C0DB7"/>
    <w:rsid w:val="001C15EB"/>
    <w:rsid w:val="001C183C"/>
    <w:rsid w:val="001C1ACC"/>
    <w:rsid w:val="001C1EBA"/>
    <w:rsid w:val="001C32F3"/>
    <w:rsid w:val="001C3484"/>
    <w:rsid w:val="001C3774"/>
    <w:rsid w:val="001C38F2"/>
    <w:rsid w:val="001C483C"/>
    <w:rsid w:val="001C5C73"/>
    <w:rsid w:val="001C6308"/>
    <w:rsid w:val="001C637B"/>
    <w:rsid w:val="001C7514"/>
    <w:rsid w:val="001D01C3"/>
    <w:rsid w:val="001D19A0"/>
    <w:rsid w:val="001D1B72"/>
    <w:rsid w:val="001D2A67"/>
    <w:rsid w:val="001D3244"/>
    <w:rsid w:val="001D39A7"/>
    <w:rsid w:val="001D417C"/>
    <w:rsid w:val="001D4E16"/>
    <w:rsid w:val="001D5431"/>
    <w:rsid w:val="001D744D"/>
    <w:rsid w:val="001D76D5"/>
    <w:rsid w:val="001D77FB"/>
    <w:rsid w:val="001D7F90"/>
    <w:rsid w:val="001E0A62"/>
    <w:rsid w:val="001E0FA3"/>
    <w:rsid w:val="001E14DA"/>
    <w:rsid w:val="001E250F"/>
    <w:rsid w:val="001E34EF"/>
    <w:rsid w:val="001E3982"/>
    <w:rsid w:val="001E3B42"/>
    <w:rsid w:val="001E3E35"/>
    <w:rsid w:val="001E3F67"/>
    <w:rsid w:val="001E4673"/>
    <w:rsid w:val="001E4993"/>
    <w:rsid w:val="001E4CE4"/>
    <w:rsid w:val="001E5703"/>
    <w:rsid w:val="001E615A"/>
    <w:rsid w:val="001E66D1"/>
    <w:rsid w:val="001E672D"/>
    <w:rsid w:val="001E72AE"/>
    <w:rsid w:val="001E7481"/>
    <w:rsid w:val="001E7A06"/>
    <w:rsid w:val="001E7EB4"/>
    <w:rsid w:val="001F066F"/>
    <w:rsid w:val="001F0A67"/>
    <w:rsid w:val="001F0BD0"/>
    <w:rsid w:val="001F11C3"/>
    <w:rsid w:val="001F2787"/>
    <w:rsid w:val="001F292E"/>
    <w:rsid w:val="001F3502"/>
    <w:rsid w:val="001F3A89"/>
    <w:rsid w:val="001F3DA7"/>
    <w:rsid w:val="001F41FD"/>
    <w:rsid w:val="001F4D1B"/>
    <w:rsid w:val="001F5285"/>
    <w:rsid w:val="001F564F"/>
    <w:rsid w:val="001F5F2C"/>
    <w:rsid w:val="001F7005"/>
    <w:rsid w:val="001F726B"/>
    <w:rsid w:val="0020030A"/>
    <w:rsid w:val="00200BEF"/>
    <w:rsid w:val="002013C6"/>
    <w:rsid w:val="00201C22"/>
    <w:rsid w:val="0020210B"/>
    <w:rsid w:val="0020277A"/>
    <w:rsid w:val="00203BE7"/>
    <w:rsid w:val="00203D8C"/>
    <w:rsid w:val="002045D5"/>
    <w:rsid w:val="0020486A"/>
    <w:rsid w:val="002049F3"/>
    <w:rsid w:val="00206B10"/>
    <w:rsid w:val="00210A5D"/>
    <w:rsid w:val="00210C59"/>
    <w:rsid w:val="0021280F"/>
    <w:rsid w:val="002134DD"/>
    <w:rsid w:val="00213C5E"/>
    <w:rsid w:val="00213E74"/>
    <w:rsid w:val="00214121"/>
    <w:rsid w:val="00214901"/>
    <w:rsid w:val="00215068"/>
    <w:rsid w:val="0021584A"/>
    <w:rsid w:val="00216070"/>
    <w:rsid w:val="00217AFA"/>
    <w:rsid w:val="00217B97"/>
    <w:rsid w:val="00217C63"/>
    <w:rsid w:val="0022036A"/>
    <w:rsid w:val="002203B8"/>
    <w:rsid w:val="00220745"/>
    <w:rsid w:val="00222315"/>
    <w:rsid w:val="0022281B"/>
    <w:rsid w:val="0022284B"/>
    <w:rsid w:val="00222917"/>
    <w:rsid w:val="0022304E"/>
    <w:rsid w:val="00223540"/>
    <w:rsid w:val="002237A4"/>
    <w:rsid w:val="00224752"/>
    <w:rsid w:val="0022483A"/>
    <w:rsid w:val="002248C5"/>
    <w:rsid w:val="00224BFB"/>
    <w:rsid w:val="00224D53"/>
    <w:rsid w:val="00224F79"/>
    <w:rsid w:val="002261A7"/>
    <w:rsid w:val="00226290"/>
    <w:rsid w:val="002266AE"/>
    <w:rsid w:val="00226F13"/>
    <w:rsid w:val="0022750C"/>
    <w:rsid w:val="00227933"/>
    <w:rsid w:val="00227D76"/>
    <w:rsid w:val="0023011A"/>
    <w:rsid w:val="00230294"/>
    <w:rsid w:val="0023037B"/>
    <w:rsid w:val="002309DE"/>
    <w:rsid w:val="0023115D"/>
    <w:rsid w:val="002311A1"/>
    <w:rsid w:val="00232F5D"/>
    <w:rsid w:val="00233D87"/>
    <w:rsid w:val="00234AE2"/>
    <w:rsid w:val="00235834"/>
    <w:rsid w:val="00235E88"/>
    <w:rsid w:val="00236924"/>
    <w:rsid w:val="00236C64"/>
    <w:rsid w:val="00237295"/>
    <w:rsid w:val="00237417"/>
    <w:rsid w:val="00237A86"/>
    <w:rsid w:val="00240A84"/>
    <w:rsid w:val="00240B7F"/>
    <w:rsid w:val="00241108"/>
    <w:rsid w:val="0024112F"/>
    <w:rsid w:val="00241E84"/>
    <w:rsid w:val="00241F46"/>
    <w:rsid w:val="002429EC"/>
    <w:rsid w:val="00242B7B"/>
    <w:rsid w:val="00244239"/>
    <w:rsid w:val="0024597E"/>
    <w:rsid w:val="00245C56"/>
    <w:rsid w:val="0024691D"/>
    <w:rsid w:val="00246E24"/>
    <w:rsid w:val="00250315"/>
    <w:rsid w:val="002507F3"/>
    <w:rsid w:val="00250810"/>
    <w:rsid w:val="00250F07"/>
    <w:rsid w:val="002511A0"/>
    <w:rsid w:val="00251E51"/>
    <w:rsid w:val="0025246D"/>
    <w:rsid w:val="002525E5"/>
    <w:rsid w:val="002529D0"/>
    <w:rsid w:val="00252A96"/>
    <w:rsid w:val="00253022"/>
    <w:rsid w:val="00253032"/>
    <w:rsid w:val="00253B12"/>
    <w:rsid w:val="00255997"/>
    <w:rsid w:val="00256DAD"/>
    <w:rsid w:val="00257494"/>
    <w:rsid w:val="0025798F"/>
    <w:rsid w:val="00260582"/>
    <w:rsid w:val="002606F4"/>
    <w:rsid w:val="00260B08"/>
    <w:rsid w:val="00262193"/>
    <w:rsid w:val="00263541"/>
    <w:rsid w:val="0026374A"/>
    <w:rsid w:val="00263AA4"/>
    <w:rsid w:val="002645A5"/>
    <w:rsid w:val="00265CD6"/>
    <w:rsid w:val="00267046"/>
    <w:rsid w:val="00270E1E"/>
    <w:rsid w:val="0027140E"/>
    <w:rsid w:val="00271B61"/>
    <w:rsid w:val="0027237E"/>
    <w:rsid w:val="00272732"/>
    <w:rsid w:val="00273007"/>
    <w:rsid w:val="0027300E"/>
    <w:rsid w:val="00273129"/>
    <w:rsid w:val="00274AFF"/>
    <w:rsid w:val="00274B89"/>
    <w:rsid w:val="002752C4"/>
    <w:rsid w:val="00276AD9"/>
    <w:rsid w:val="00277007"/>
    <w:rsid w:val="00277F56"/>
    <w:rsid w:val="00280E2E"/>
    <w:rsid w:val="002812AE"/>
    <w:rsid w:val="00282189"/>
    <w:rsid w:val="002827F2"/>
    <w:rsid w:val="00282CE2"/>
    <w:rsid w:val="0028376A"/>
    <w:rsid w:val="002844E6"/>
    <w:rsid w:val="00284BE5"/>
    <w:rsid w:val="00285C4F"/>
    <w:rsid w:val="00286497"/>
    <w:rsid w:val="002866E3"/>
    <w:rsid w:val="00290CD6"/>
    <w:rsid w:val="00290EBD"/>
    <w:rsid w:val="00291DAF"/>
    <w:rsid w:val="00292551"/>
    <w:rsid w:val="00293260"/>
    <w:rsid w:val="00293AE5"/>
    <w:rsid w:val="002942EB"/>
    <w:rsid w:val="002944FA"/>
    <w:rsid w:val="002952CD"/>
    <w:rsid w:val="00296FCD"/>
    <w:rsid w:val="0029765E"/>
    <w:rsid w:val="002979F3"/>
    <w:rsid w:val="00297C31"/>
    <w:rsid w:val="002A007F"/>
    <w:rsid w:val="002A091F"/>
    <w:rsid w:val="002A1487"/>
    <w:rsid w:val="002A1C80"/>
    <w:rsid w:val="002A26A2"/>
    <w:rsid w:val="002A45AE"/>
    <w:rsid w:val="002A47F7"/>
    <w:rsid w:val="002A4F73"/>
    <w:rsid w:val="002A542C"/>
    <w:rsid w:val="002A57F1"/>
    <w:rsid w:val="002A5D49"/>
    <w:rsid w:val="002A6A95"/>
    <w:rsid w:val="002B019B"/>
    <w:rsid w:val="002B07BF"/>
    <w:rsid w:val="002B0958"/>
    <w:rsid w:val="002B0C4B"/>
    <w:rsid w:val="002B0E08"/>
    <w:rsid w:val="002B1AE1"/>
    <w:rsid w:val="002B1F01"/>
    <w:rsid w:val="002B2AF1"/>
    <w:rsid w:val="002B4036"/>
    <w:rsid w:val="002B408A"/>
    <w:rsid w:val="002B4906"/>
    <w:rsid w:val="002B65AE"/>
    <w:rsid w:val="002B6CD4"/>
    <w:rsid w:val="002B759A"/>
    <w:rsid w:val="002B7861"/>
    <w:rsid w:val="002B79E0"/>
    <w:rsid w:val="002C083A"/>
    <w:rsid w:val="002C13CF"/>
    <w:rsid w:val="002C1BC7"/>
    <w:rsid w:val="002C24CB"/>
    <w:rsid w:val="002C27CD"/>
    <w:rsid w:val="002C2B49"/>
    <w:rsid w:val="002C3DA7"/>
    <w:rsid w:val="002C43C8"/>
    <w:rsid w:val="002C43D4"/>
    <w:rsid w:val="002C531A"/>
    <w:rsid w:val="002C58B5"/>
    <w:rsid w:val="002C5B07"/>
    <w:rsid w:val="002C637D"/>
    <w:rsid w:val="002C63C3"/>
    <w:rsid w:val="002C656E"/>
    <w:rsid w:val="002C6991"/>
    <w:rsid w:val="002C6B63"/>
    <w:rsid w:val="002C6F39"/>
    <w:rsid w:val="002C7220"/>
    <w:rsid w:val="002C7D0B"/>
    <w:rsid w:val="002D0537"/>
    <w:rsid w:val="002D0A04"/>
    <w:rsid w:val="002D10A8"/>
    <w:rsid w:val="002D1725"/>
    <w:rsid w:val="002D1931"/>
    <w:rsid w:val="002D223E"/>
    <w:rsid w:val="002D28E4"/>
    <w:rsid w:val="002D2FB5"/>
    <w:rsid w:val="002D33EC"/>
    <w:rsid w:val="002D346F"/>
    <w:rsid w:val="002D3864"/>
    <w:rsid w:val="002D3BFE"/>
    <w:rsid w:val="002D4840"/>
    <w:rsid w:val="002D5B2F"/>
    <w:rsid w:val="002D60ED"/>
    <w:rsid w:val="002D787E"/>
    <w:rsid w:val="002E01C6"/>
    <w:rsid w:val="002E14B6"/>
    <w:rsid w:val="002E1C0E"/>
    <w:rsid w:val="002E1F99"/>
    <w:rsid w:val="002E3962"/>
    <w:rsid w:val="002E40E2"/>
    <w:rsid w:val="002E4938"/>
    <w:rsid w:val="002E49A5"/>
    <w:rsid w:val="002E559D"/>
    <w:rsid w:val="002E5F0E"/>
    <w:rsid w:val="002E603F"/>
    <w:rsid w:val="002E74C1"/>
    <w:rsid w:val="002F03B4"/>
    <w:rsid w:val="002F0667"/>
    <w:rsid w:val="002F1ADE"/>
    <w:rsid w:val="002F2125"/>
    <w:rsid w:val="002F2DFA"/>
    <w:rsid w:val="002F5586"/>
    <w:rsid w:val="002F6ECB"/>
    <w:rsid w:val="003000C9"/>
    <w:rsid w:val="003005C0"/>
    <w:rsid w:val="00300DE6"/>
    <w:rsid w:val="00301597"/>
    <w:rsid w:val="00301F2C"/>
    <w:rsid w:val="00301F39"/>
    <w:rsid w:val="00301F4E"/>
    <w:rsid w:val="003028F9"/>
    <w:rsid w:val="00303BDD"/>
    <w:rsid w:val="003040C1"/>
    <w:rsid w:val="00304235"/>
    <w:rsid w:val="00304E35"/>
    <w:rsid w:val="003055D2"/>
    <w:rsid w:val="00305BE1"/>
    <w:rsid w:val="00305E5E"/>
    <w:rsid w:val="003064C1"/>
    <w:rsid w:val="00306CF4"/>
    <w:rsid w:val="00307C02"/>
    <w:rsid w:val="00307D4C"/>
    <w:rsid w:val="0031000F"/>
    <w:rsid w:val="00310CAB"/>
    <w:rsid w:val="00310CF3"/>
    <w:rsid w:val="00310ED7"/>
    <w:rsid w:val="00311493"/>
    <w:rsid w:val="0031231A"/>
    <w:rsid w:val="00312734"/>
    <w:rsid w:val="00312C63"/>
    <w:rsid w:val="00313424"/>
    <w:rsid w:val="003136F7"/>
    <w:rsid w:val="00313E09"/>
    <w:rsid w:val="00313E97"/>
    <w:rsid w:val="003140A7"/>
    <w:rsid w:val="00314600"/>
    <w:rsid w:val="0031515A"/>
    <w:rsid w:val="00315667"/>
    <w:rsid w:val="003157C0"/>
    <w:rsid w:val="003159C2"/>
    <w:rsid w:val="00317B4C"/>
    <w:rsid w:val="00320C01"/>
    <w:rsid w:val="00320E73"/>
    <w:rsid w:val="00323950"/>
    <w:rsid w:val="00323D80"/>
    <w:rsid w:val="0032500F"/>
    <w:rsid w:val="00325465"/>
    <w:rsid w:val="00327894"/>
    <w:rsid w:val="00327CCA"/>
    <w:rsid w:val="0033058B"/>
    <w:rsid w:val="00330CF2"/>
    <w:rsid w:val="00331A3E"/>
    <w:rsid w:val="00331C5E"/>
    <w:rsid w:val="00331CD1"/>
    <w:rsid w:val="00331DF5"/>
    <w:rsid w:val="003323D2"/>
    <w:rsid w:val="003334F4"/>
    <w:rsid w:val="00334053"/>
    <w:rsid w:val="003342CF"/>
    <w:rsid w:val="003344E7"/>
    <w:rsid w:val="00334512"/>
    <w:rsid w:val="00334C00"/>
    <w:rsid w:val="00336E23"/>
    <w:rsid w:val="00337E42"/>
    <w:rsid w:val="0034012B"/>
    <w:rsid w:val="003408E8"/>
    <w:rsid w:val="00340E13"/>
    <w:rsid w:val="00341A72"/>
    <w:rsid w:val="003426D4"/>
    <w:rsid w:val="00342878"/>
    <w:rsid w:val="00342936"/>
    <w:rsid w:val="0034321F"/>
    <w:rsid w:val="0034339B"/>
    <w:rsid w:val="00347CE7"/>
    <w:rsid w:val="00347FE2"/>
    <w:rsid w:val="00350A02"/>
    <w:rsid w:val="00350E59"/>
    <w:rsid w:val="003510B3"/>
    <w:rsid w:val="003525F4"/>
    <w:rsid w:val="00352DFF"/>
    <w:rsid w:val="00352F6A"/>
    <w:rsid w:val="00353582"/>
    <w:rsid w:val="00354104"/>
    <w:rsid w:val="00354AAE"/>
    <w:rsid w:val="003555A9"/>
    <w:rsid w:val="00355670"/>
    <w:rsid w:val="00357143"/>
    <w:rsid w:val="00357B2D"/>
    <w:rsid w:val="00357D6B"/>
    <w:rsid w:val="003600A0"/>
    <w:rsid w:val="00360B0C"/>
    <w:rsid w:val="00361C26"/>
    <w:rsid w:val="00361DC7"/>
    <w:rsid w:val="00363509"/>
    <w:rsid w:val="0036384E"/>
    <w:rsid w:val="00364E32"/>
    <w:rsid w:val="003652D8"/>
    <w:rsid w:val="003707F6"/>
    <w:rsid w:val="00371805"/>
    <w:rsid w:val="00371B65"/>
    <w:rsid w:val="00371E8B"/>
    <w:rsid w:val="00372045"/>
    <w:rsid w:val="00372958"/>
    <w:rsid w:val="003738DA"/>
    <w:rsid w:val="00373BAA"/>
    <w:rsid w:val="003749B4"/>
    <w:rsid w:val="00374CBE"/>
    <w:rsid w:val="00375DB5"/>
    <w:rsid w:val="00375DB9"/>
    <w:rsid w:val="0037612D"/>
    <w:rsid w:val="00376D7B"/>
    <w:rsid w:val="00376F8D"/>
    <w:rsid w:val="003811D7"/>
    <w:rsid w:val="00381E22"/>
    <w:rsid w:val="00382BE9"/>
    <w:rsid w:val="00382EE2"/>
    <w:rsid w:val="003837CE"/>
    <w:rsid w:val="003837D1"/>
    <w:rsid w:val="00384471"/>
    <w:rsid w:val="0038502A"/>
    <w:rsid w:val="0038511D"/>
    <w:rsid w:val="003852E8"/>
    <w:rsid w:val="003853D0"/>
    <w:rsid w:val="00385543"/>
    <w:rsid w:val="003875B8"/>
    <w:rsid w:val="00390C43"/>
    <w:rsid w:val="003914FA"/>
    <w:rsid w:val="003918B9"/>
    <w:rsid w:val="00392D89"/>
    <w:rsid w:val="0039335A"/>
    <w:rsid w:val="00393427"/>
    <w:rsid w:val="00393D05"/>
    <w:rsid w:val="00394FBE"/>
    <w:rsid w:val="0039513E"/>
    <w:rsid w:val="0039664D"/>
    <w:rsid w:val="003968C4"/>
    <w:rsid w:val="003969F9"/>
    <w:rsid w:val="00396CD6"/>
    <w:rsid w:val="00397699"/>
    <w:rsid w:val="00397E16"/>
    <w:rsid w:val="00397FEF"/>
    <w:rsid w:val="003A0A2D"/>
    <w:rsid w:val="003A144E"/>
    <w:rsid w:val="003A1BD0"/>
    <w:rsid w:val="003A2702"/>
    <w:rsid w:val="003A27EA"/>
    <w:rsid w:val="003A3BDA"/>
    <w:rsid w:val="003A3EFE"/>
    <w:rsid w:val="003A41F6"/>
    <w:rsid w:val="003A4C08"/>
    <w:rsid w:val="003A58AC"/>
    <w:rsid w:val="003A72D9"/>
    <w:rsid w:val="003B060C"/>
    <w:rsid w:val="003B06C0"/>
    <w:rsid w:val="003B06ED"/>
    <w:rsid w:val="003B0B33"/>
    <w:rsid w:val="003B0D46"/>
    <w:rsid w:val="003B1E7C"/>
    <w:rsid w:val="003B20D9"/>
    <w:rsid w:val="003B2A65"/>
    <w:rsid w:val="003B3338"/>
    <w:rsid w:val="003B345A"/>
    <w:rsid w:val="003B3C10"/>
    <w:rsid w:val="003B3DC6"/>
    <w:rsid w:val="003B5119"/>
    <w:rsid w:val="003B5D13"/>
    <w:rsid w:val="003B60E4"/>
    <w:rsid w:val="003B6EA2"/>
    <w:rsid w:val="003C02A9"/>
    <w:rsid w:val="003C0D18"/>
    <w:rsid w:val="003C153D"/>
    <w:rsid w:val="003C1D7D"/>
    <w:rsid w:val="003C20EF"/>
    <w:rsid w:val="003C219E"/>
    <w:rsid w:val="003C4E5A"/>
    <w:rsid w:val="003C4F99"/>
    <w:rsid w:val="003C740A"/>
    <w:rsid w:val="003C75C9"/>
    <w:rsid w:val="003D003A"/>
    <w:rsid w:val="003D0210"/>
    <w:rsid w:val="003D04FF"/>
    <w:rsid w:val="003D0A68"/>
    <w:rsid w:val="003D0DE5"/>
    <w:rsid w:val="003D0DFF"/>
    <w:rsid w:val="003D1389"/>
    <w:rsid w:val="003D166F"/>
    <w:rsid w:val="003D273A"/>
    <w:rsid w:val="003D2EBA"/>
    <w:rsid w:val="003D2EF5"/>
    <w:rsid w:val="003D34E2"/>
    <w:rsid w:val="003D3E2A"/>
    <w:rsid w:val="003D3E35"/>
    <w:rsid w:val="003D3E7A"/>
    <w:rsid w:val="003D4031"/>
    <w:rsid w:val="003D4BF2"/>
    <w:rsid w:val="003D589E"/>
    <w:rsid w:val="003D5C1D"/>
    <w:rsid w:val="003D6078"/>
    <w:rsid w:val="003D68EF"/>
    <w:rsid w:val="003E00AA"/>
    <w:rsid w:val="003E03A8"/>
    <w:rsid w:val="003E12EA"/>
    <w:rsid w:val="003E2419"/>
    <w:rsid w:val="003E2C0B"/>
    <w:rsid w:val="003E2C99"/>
    <w:rsid w:val="003E2E2C"/>
    <w:rsid w:val="003E35DB"/>
    <w:rsid w:val="003E40E9"/>
    <w:rsid w:val="003E43E1"/>
    <w:rsid w:val="003E51F2"/>
    <w:rsid w:val="003E551F"/>
    <w:rsid w:val="003E5FC5"/>
    <w:rsid w:val="003E602B"/>
    <w:rsid w:val="003E6665"/>
    <w:rsid w:val="003E6E84"/>
    <w:rsid w:val="003E75E9"/>
    <w:rsid w:val="003F0278"/>
    <w:rsid w:val="003F0D81"/>
    <w:rsid w:val="003F25FA"/>
    <w:rsid w:val="003F35DB"/>
    <w:rsid w:val="003F4B28"/>
    <w:rsid w:val="003F67AD"/>
    <w:rsid w:val="003F79E4"/>
    <w:rsid w:val="003F7FA7"/>
    <w:rsid w:val="00400E5D"/>
    <w:rsid w:val="004018E5"/>
    <w:rsid w:val="00401E34"/>
    <w:rsid w:val="00401E66"/>
    <w:rsid w:val="0040289B"/>
    <w:rsid w:val="0040353E"/>
    <w:rsid w:val="0040405B"/>
    <w:rsid w:val="00404AB4"/>
    <w:rsid w:val="004058F1"/>
    <w:rsid w:val="004061F7"/>
    <w:rsid w:val="0040682E"/>
    <w:rsid w:val="0040773A"/>
    <w:rsid w:val="0041082A"/>
    <w:rsid w:val="00410848"/>
    <w:rsid w:val="004108A3"/>
    <w:rsid w:val="004129F5"/>
    <w:rsid w:val="004135CA"/>
    <w:rsid w:val="00414127"/>
    <w:rsid w:val="00414842"/>
    <w:rsid w:val="004150D9"/>
    <w:rsid w:val="00416329"/>
    <w:rsid w:val="004163B1"/>
    <w:rsid w:val="00416833"/>
    <w:rsid w:val="00416D86"/>
    <w:rsid w:val="0041712F"/>
    <w:rsid w:val="004177B2"/>
    <w:rsid w:val="00417A59"/>
    <w:rsid w:val="00417AE2"/>
    <w:rsid w:val="00417CC8"/>
    <w:rsid w:val="00421BEB"/>
    <w:rsid w:val="00421DD9"/>
    <w:rsid w:val="00422328"/>
    <w:rsid w:val="00422D74"/>
    <w:rsid w:val="00422EE3"/>
    <w:rsid w:val="00424667"/>
    <w:rsid w:val="00424F91"/>
    <w:rsid w:val="00425981"/>
    <w:rsid w:val="00426275"/>
    <w:rsid w:val="004262E8"/>
    <w:rsid w:val="0042648A"/>
    <w:rsid w:val="00427650"/>
    <w:rsid w:val="004277C5"/>
    <w:rsid w:val="00427D04"/>
    <w:rsid w:val="0042CCD9"/>
    <w:rsid w:val="004302F4"/>
    <w:rsid w:val="0043054F"/>
    <w:rsid w:val="00430816"/>
    <w:rsid w:val="00431ACD"/>
    <w:rsid w:val="004320C4"/>
    <w:rsid w:val="00432B4A"/>
    <w:rsid w:val="00436562"/>
    <w:rsid w:val="00436D0E"/>
    <w:rsid w:val="00437A0E"/>
    <w:rsid w:val="00437B1A"/>
    <w:rsid w:val="004407B2"/>
    <w:rsid w:val="0044080D"/>
    <w:rsid w:val="00440AB3"/>
    <w:rsid w:val="0044107A"/>
    <w:rsid w:val="00442E56"/>
    <w:rsid w:val="004435E4"/>
    <w:rsid w:val="00443AEC"/>
    <w:rsid w:val="00444896"/>
    <w:rsid w:val="00444C5A"/>
    <w:rsid w:val="004450CC"/>
    <w:rsid w:val="0044537F"/>
    <w:rsid w:val="004467B1"/>
    <w:rsid w:val="004469AB"/>
    <w:rsid w:val="00447F57"/>
    <w:rsid w:val="00450290"/>
    <w:rsid w:val="004506C9"/>
    <w:rsid w:val="004509E3"/>
    <w:rsid w:val="00450E45"/>
    <w:rsid w:val="00451500"/>
    <w:rsid w:val="004529CB"/>
    <w:rsid w:val="00454750"/>
    <w:rsid w:val="0045523D"/>
    <w:rsid w:val="004562FC"/>
    <w:rsid w:val="00456BC2"/>
    <w:rsid w:val="004570EE"/>
    <w:rsid w:val="0045717A"/>
    <w:rsid w:val="004605E8"/>
    <w:rsid w:val="0046089C"/>
    <w:rsid w:val="004610B4"/>
    <w:rsid w:val="004614C1"/>
    <w:rsid w:val="004618A5"/>
    <w:rsid w:val="0046215D"/>
    <w:rsid w:val="004621F7"/>
    <w:rsid w:val="004623C7"/>
    <w:rsid w:val="00462584"/>
    <w:rsid w:val="00463106"/>
    <w:rsid w:val="004640CE"/>
    <w:rsid w:val="004640E5"/>
    <w:rsid w:val="0046465E"/>
    <w:rsid w:val="00464967"/>
    <w:rsid w:val="00464BD2"/>
    <w:rsid w:val="00464C69"/>
    <w:rsid w:val="00465707"/>
    <w:rsid w:val="004667A7"/>
    <w:rsid w:val="0046750A"/>
    <w:rsid w:val="004700CD"/>
    <w:rsid w:val="00470D22"/>
    <w:rsid w:val="00470E8D"/>
    <w:rsid w:val="00472639"/>
    <w:rsid w:val="00472C56"/>
    <w:rsid w:val="00472DEC"/>
    <w:rsid w:val="004734BD"/>
    <w:rsid w:val="00473900"/>
    <w:rsid w:val="004747F0"/>
    <w:rsid w:val="00476523"/>
    <w:rsid w:val="00480BC9"/>
    <w:rsid w:val="00480F00"/>
    <w:rsid w:val="004815F1"/>
    <w:rsid w:val="00481A3E"/>
    <w:rsid w:val="0048319B"/>
    <w:rsid w:val="004838B0"/>
    <w:rsid w:val="00483976"/>
    <w:rsid w:val="00483AA2"/>
    <w:rsid w:val="0048465F"/>
    <w:rsid w:val="00484DE7"/>
    <w:rsid w:val="004850C4"/>
    <w:rsid w:val="00485CD5"/>
    <w:rsid w:val="004865E9"/>
    <w:rsid w:val="00486DC6"/>
    <w:rsid w:val="00487488"/>
    <w:rsid w:val="004877E7"/>
    <w:rsid w:val="004903BF"/>
    <w:rsid w:val="00490521"/>
    <w:rsid w:val="00490D21"/>
    <w:rsid w:val="00491A7A"/>
    <w:rsid w:val="00491BAE"/>
    <w:rsid w:val="00492715"/>
    <w:rsid w:val="00492DB8"/>
    <w:rsid w:val="004937F1"/>
    <w:rsid w:val="0049400F"/>
    <w:rsid w:val="004942B2"/>
    <w:rsid w:val="004946A8"/>
    <w:rsid w:val="004948C0"/>
    <w:rsid w:val="00494A90"/>
    <w:rsid w:val="004962C7"/>
    <w:rsid w:val="00496792"/>
    <w:rsid w:val="00496919"/>
    <w:rsid w:val="004A06D4"/>
    <w:rsid w:val="004A2718"/>
    <w:rsid w:val="004A28C0"/>
    <w:rsid w:val="004A39FA"/>
    <w:rsid w:val="004A58B5"/>
    <w:rsid w:val="004A5BF3"/>
    <w:rsid w:val="004A675A"/>
    <w:rsid w:val="004A6A1F"/>
    <w:rsid w:val="004A6FC3"/>
    <w:rsid w:val="004A7239"/>
    <w:rsid w:val="004B001A"/>
    <w:rsid w:val="004B2457"/>
    <w:rsid w:val="004B2513"/>
    <w:rsid w:val="004B30C2"/>
    <w:rsid w:val="004B3C69"/>
    <w:rsid w:val="004B40CB"/>
    <w:rsid w:val="004B4F97"/>
    <w:rsid w:val="004B5824"/>
    <w:rsid w:val="004B5AB9"/>
    <w:rsid w:val="004B6A30"/>
    <w:rsid w:val="004B732D"/>
    <w:rsid w:val="004B7AE5"/>
    <w:rsid w:val="004C14E1"/>
    <w:rsid w:val="004C295D"/>
    <w:rsid w:val="004C44F0"/>
    <w:rsid w:val="004C6830"/>
    <w:rsid w:val="004C76C1"/>
    <w:rsid w:val="004C7C56"/>
    <w:rsid w:val="004D13B1"/>
    <w:rsid w:val="004D1809"/>
    <w:rsid w:val="004D2B86"/>
    <w:rsid w:val="004D4BE4"/>
    <w:rsid w:val="004D4D91"/>
    <w:rsid w:val="004D55AB"/>
    <w:rsid w:val="004D5812"/>
    <w:rsid w:val="004D653F"/>
    <w:rsid w:val="004D74A2"/>
    <w:rsid w:val="004D7A80"/>
    <w:rsid w:val="004D7CF4"/>
    <w:rsid w:val="004D7DA1"/>
    <w:rsid w:val="004E1D5E"/>
    <w:rsid w:val="004E296E"/>
    <w:rsid w:val="004E29C5"/>
    <w:rsid w:val="004E2C00"/>
    <w:rsid w:val="004E36E4"/>
    <w:rsid w:val="004E3947"/>
    <w:rsid w:val="004E3B4B"/>
    <w:rsid w:val="004E455C"/>
    <w:rsid w:val="004E48E6"/>
    <w:rsid w:val="004E5E10"/>
    <w:rsid w:val="004E6B9C"/>
    <w:rsid w:val="004E6D1C"/>
    <w:rsid w:val="004E6E07"/>
    <w:rsid w:val="004E7745"/>
    <w:rsid w:val="004E7F0C"/>
    <w:rsid w:val="004F002F"/>
    <w:rsid w:val="004F0A2F"/>
    <w:rsid w:val="004F122A"/>
    <w:rsid w:val="004F14E5"/>
    <w:rsid w:val="004F1ACD"/>
    <w:rsid w:val="004F1CB9"/>
    <w:rsid w:val="004F327D"/>
    <w:rsid w:val="004F3FD4"/>
    <w:rsid w:val="004F47C2"/>
    <w:rsid w:val="004F4DFD"/>
    <w:rsid w:val="004F5314"/>
    <w:rsid w:val="004F5517"/>
    <w:rsid w:val="004F6305"/>
    <w:rsid w:val="004F6538"/>
    <w:rsid w:val="004F7319"/>
    <w:rsid w:val="004F7799"/>
    <w:rsid w:val="00500234"/>
    <w:rsid w:val="00500D08"/>
    <w:rsid w:val="00500E95"/>
    <w:rsid w:val="005028E8"/>
    <w:rsid w:val="00503489"/>
    <w:rsid w:val="00503A03"/>
    <w:rsid w:val="00504849"/>
    <w:rsid w:val="005051B7"/>
    <w:rsid w:val="00507003"/>
    <w:rsid w:val="00507C0E"/>
    <w:rsid w:val="0051215E"/>
    <w:rsid w:val="005129F3"/>
    <w:rsid w:val="00512C27"/>
    <w:rsid w:val="005141B5"/>
    <w:rsid w:val="00515730"/>
    <w:rsid w:val="00517678"/>
    <w:rsid w:val="005176B4"/>
    <w:rsid w:val="00520152"/>
    <w:rsid w:val="0052195E"/>
    <w:rsid w:val="005219C0"/>
    <w:rsid w:val="00521D3B"/>
    <w:rsid w:val="005220EB"/>
    <w:rsid w:val="0052249B"/>
    <w:rsid w:val="00522D32"/>
    <w:rsid w:val="0052302F"/>
    <w:rsid w:val="005232B7"/>
    <w:rsid w:val="00523A24"/>
    <w:rsid w:val="00523F74"/>
    <w:rsid w:val="00524242"/>
    <w:rsid w:val="005242EB"/>
    <w:rsid w:val="00524325"/>
    <w:rsid w:val="00524B60"/>
    <w:rsid w:val="00526663"/>
    <w:rsid w:val="00526BC8"/>
    <w:rsid w:val="00527940"/>
    <w:rsid w:val="00530A1D"/>
    <w:rsid w:val="00530D42"/>
    <w:rsid w:val="00531BEB"/>
    <w:rsid w:val="00531F29"/>
    <w:rsid w:val="00532DF7"/>
    <w:rsid w:val="00533060"/>
    <w:rsid w:val="00536488"/>
    <w:rsid w:val="00537C68"/>
    <w:rsid w:val="00537D2E"/>
    <w:rsid w:val="005400E2"/>
    <w:rsid w:val="005401DA"/>
    <w:rsid w:val="00540435"/>
    <w:rsid w:val="00540516"/>
    <w:rsid w:val="005408C5"/>
    <w:rsid w:val="00540B30"/>
    <w:rsid w:val="00540DEE"/>
    <w:rsid w:val="00540E40"/>
    <w:rsid w:val="00540F4C"/>
    <w:rsid w:val="00541D55"/>
    <w:rsid w:val="00541D9A"/>
    <w:rsid w:val="005425B4"/>
    <w:rsid w:val="005428F3"/>
    <w:rsid w:val="00542B27"/>
    <w:rsid w:val="00542E1B"/>
    <w:rsid w:val="00543075"/>
    <w:rsid w:val="00543689"/>
    <w:rsid w:val="0054397A"/>
    <w:rsid w:val="005447DB"/>
    <w:rsid w:val="00545891"/>
    <w:rsid w:val="00545D4A"/>
    <w:rsid w:val="00546E09"/>
    <w:rsid w:val="00546E41"/>
    <w:rsid w:val="00550266"/>
    <w:rsid w:val="00550366"/>
    <w:rsid w:val="005503C1"/>
    <w:rsid w:val="00550981"/>
    <w:rsid w:val="00550CA9"/>
    <w:rsid w:val="00551F7A"/>
    <w:rsid w:val="00552423"/>
    <w:rsid w:val="005527FE"/>
    <w:rsid w:val="00552870"/>
    <w:rsid w:val="00552BD9"/>
    <w:rsid w:val="00553490"/>
    <w:rsid w:val="00553C73"/>
    <w:rsid w:val="00556F22"/>
    <w:rsid w:val="0055767A"/>
    <w:rsid w:val="00557B8E"/>
    <w:rsid w:val="00560960"/>
    <w:rsid w:val="0056137D"/>
    <w:rsid w:val="00561D26"/>
    <w:rsid w:val="00562688"/>
    <w:rsid w:val="00563393"/>
    <w:rsid w:val="005640DA"/>
    <w:rsid w:val="005655CE"/>
    <w:rsid w:val="00566352"/>
    <w:rsid w:val="00566DE7"/>
    <w:rsid w:val="005712C0"/>
    <w:rsid w:val="00571943"/>
    <w:rsid w:val="00571A7E"/>
    <w:rsid w:val="0057252C"/>
    <w:rsid w:val="00572B8A"/>
    <w:rsid w:val="00573139"/>
    <w:rsid w:val="00573840"/>
    <w:rsid w:val="005746D6"/>
    <w:rsid w:val="005753BC"/>
    <w:rsid w:val="00575A52"/>
    <w:rsid w:val="00575D9F"/>
    <w:rsid w:val="00577A6C"/>
    <w:rsid w:val="00577BAE"/>
    <w:rsid w:val="00577BDE"/>
    <w:rsid w:val="0058298B"/>
    <w:rsid w:val="0058324A"/>
    <w:rsid w:val="00583631"/>
    <w:rsid w:val="00584085"/>
    <w:rsid w:val="0058518D"/>
    <w:rsid w:val="005851B9"/>
    <w:rsid w:val="00585AC0"/>
    <w:rsid w:val="00585EE2"/>
    <w:rsid w:val="0058688F"/>
    <w:rsid w:val="00587278"/>
    <w:rsid w:val="005878EF"/>
    <w:rsid w:val="00587A4B"/>
    <w:rsid w:val="0059009F"/>
    <w:rsid w:val="0059179A"/>
    <w:rsid w:val="0059192F"/>
    <w:rsid w:val="005922B4"/>
    <w:rsid w:val="0059379E"/>
    <w:rsid w:val="00593CB2"/>
    <w:rsid w:val="005942A4"/>
    <w:rsid w:val="005942F9"/>
    <w:rsid w:val="005948E9"/>
    <w:rsid w:val="00594900"/>
    <w:rsid w:val="0059534E"/>
    <w:rsid w:val="00595CAF"/>
    <w:rsid w:val="00595DE4"/>
    <w:rsid w:val="0059649D"/>
    <w:rsid w:val="00596512"/>
    <w:rsid w:val="005967C0"/>
    <w:rsid w:val="00597054"/>
    <w:rsid w:val="00597165"/>
    <w:rsid w:val="00597184"/>
    <w:rsid w:val="005A01E7"/>
    <w:rsid w:val="005A0233"/>
    <w:rsid w:val="005A037A"/>
    <w:rsid w:val="005A04F4"/>
    <w:rsid w:val="005A0EDF"/>
    <w:rsid w:val="005A12FF"/>
    <w:rsid w:val="005A1B86"/>
    <w:rsid w:val="005A300B"/>
    <w:rsid w:val="005A33B8"/>
    <w:rsid w:val="005A3A9F"/>
    <w:rsid w:val="005A4471"/>
    <w:rsid w:val="005A4533"/>
    <w:rsid w:val="005A4591"/>
    <w:rsid w:val="005A4BEB"/>
    <w:rsid w:val="005A5B48"/>
    <w:rsid w:val="005A66AA"/>
    <w:rsid w:val="005A6EF5"/>
    <w:rsid w:val="005A76B5"/>
    <w:rsid w:val="005A7B7D"/>
    <w:rsid w:val="005A7E77"/>
    <w:rsid w:val="005A7F0A"/>
    <w:rsid w:val="005B0059"/>
    <w:rsid w:val="005B00E1"/>
    <w:rsid w:val="005B03A8"/>
    <w:rsid w:val="005B0C96"/>
    <w:rsid w:val="005B0FEB"/>
    <w:rsid w:val="005B1065"/>
    <w:rsid w:val="005B1256"/>
    <w:rsid w:val="005B221B"/>
    <w:rsid w:val="005B2D5A"/>
    <w:rsid w:val="005B4332"/>
    <w:rsid w:val="005B4871"/>
    <w:rsid w:val="005B512E"/>
    <w:rsid w:val="005B5A5A"/>
    <w:rsid w:val="005B6028"/>
    <w:rsid w:val="005C0931"/>
    <w:rsid w:val="005C0D61"/>
    <w:rsid w:val="005C0F2E"/>
    <w:rsid w:val="005C1D04"/>
    <w:rsid w:val="005C2BD5"/>
    <w:rsid w:val="005C3628"/>
    <w:rsid w:val="005C4164"/>
    <w:rsid w:val="005C4317"/>
    <w:rsid w:val="005C535D"/>
    <w:rsid w:val="005C5A7B"/>
    <w:rsid w:val="005C5D23"/>
    <w:rsid w:val="005C5F7D"/>
    <w:rsid w:val="005C6097"/>
    <w:rsid w:val="005C678C"/>
    <w:rsid w:val="005C68E9"/>
    <w:rsid w:val="005C6DFA"/>
    <w:rsid w:val="005C7B90"/>
    <w:rsid w:val="005C7D3E"/>
    <w:rsid w:val="005D038E"/>
    <w:rsid w:val="005D136D"/>
    <w:rsid w:val="005D1779"/>
    <w:rsid w:val="005D2084"/>
    <w:rsid w:val="005D2130"/>
    <w:rsid w:val="005D255C"/>
    <w:rsid w:val="005D3427"/>
    <w:rsid w:val="005D472C"/>
    <w:rsid w:val="005D5669"/>
    <w:rsid w:val="005D5912"/>
    <w:rsid w:val="005D5E95"/>
    <w:rsid w:val="005D678B"/>
    <w:rsid w:val="005D6BCD"/>
    <w:rsid w:val="005D718D"/>
    <w:rsid w:val="005E099B"/>
    <w:rsid w:val="005E0E8C"/>
    <w:rsid w:val="005E1504"/>
    <w:rsid w:val="005E1ED4"/>
    <w:rsid w:val="005E2591"/>
    <w:rsid w:val="005E353C"/>
    <w:rsid w:val="005E440D"/>
    <w:rsid w:val="005E5EC7"/>
    <w:rsid w:val="005E67E4"/>
    <w:rsid w:val="005E7099"/>
    <w:rsid w:val="005E78DC"/>
    <w:rsid w:val="005F287A"/>
    <w:rsid w:val="005F299C"/>
    <w:rsid w:val="005F2FA4"/>
    <w:rsid w:val="005F3BBF"/>
    <w:rsid w:val="005F3C2F"/>
    <w:rsid w:val="005F4017"/>
    <w:rsid w:val="005F56CF"/>
    <w:rsid w:val="005F5909"/>
    <w:rsid w:val="005F5DED"/>
    <w:rsid w:val="005F6114"/>
    <w:rsid w:val="005F68B1"/>
    <w:rsid w:val="005F7800"/>
    <w:rsid w:val="006000D2"/>
    <w:rsid w:val="0060032A"/>
    <w:rsid w:val="00600FFB"/>
    <w:rsid w:val="00601DA1"/>
    <w:rsid w:val="00601DB6"/>
    <w:rsid w:val="00602110"/>
    <w:rsid w:val="006031D0"/>
    <w:rsid w:val="006032B7"/>
    <w:rsid w:val="00603311"/>
    <w:rsid w:val="00603724"/>
    <w:rsid w:val="00603BEC"/>
    <w:rsid w:val="00604EC6"/>
    <w:rsid w:val="00604F37"/>
    <w:rsid w:val="00605B3D"/>
    <w:rsid w:val="00605F1C"/>
    <w:rsid w:val="006061FC"/>
    <w:rsid w:val="00606BAB"/>
    <w:rsid w:val="00610048"/>
    <w:rsid w:val="00610DC0"/>
    <w:rsid w:val="0061102B"/>
    <w:rsid w:val="0061116B"/>
    <w:rsid w:val="0061258D"/>
    <w:rsid w:val="00612A1F"/>
    <w:rsid w:val="00612F6C"/>
    <w:rsid w:val="006134AD"/>
    <w:rsid w:val="00613BCA"/>
    <w:rsid w:val="00614CA8"/>
    <w:rsid w:val="00614E62"/>
    <w:rsid w:val="006157B0"/>
    <w:rsid w:val="006159AB"/>
    <w:rsid w:val="006159AE"/>
    <w:rsid w:val="006169AA"/>
    <w:rsid w:val="00616E7F"/>
    <w:rsid w:val="00617786"/>
    <w:rsid w:val="00617FD4"/>
    <w:rsid w:val="0062088D"/>
    <w:rsid w:val="0062157E"/>
    <w:rsid w:val="0062298A"/>
    <w:rsid w:val="00622BF6"/>
    <w:rsid w:val="006232C8"/>
    <w:rsid w:val="00624108"/>
    <w:rsid w:val="00624C58"/>
    <w:rsid w:val="006250E6"/>
    <w:rsid w:val="00625294"/>
    <w:rsid w:val="00627561"/>
    <w:rsid w:val="00627AC4"/>
    <w:rsid w:val="006322C9"/>
    <w:rsid w:val="0063247C"/>
    <w:rsid w:val="00632B47"/>
    <w:rsid w:val="00632BE7"/>
    <w:rsid w:val="006330C3"/>
    <w:rsid w:val="00635D53"/>
    <w:rsid w:val="0063672A"/>
    <w:rsid w:val="0063683C"/>
    <w:rsid w:val="00637000"/>
    <w:rsid w:val="00637AAB"/>
    <w:rsid w:val="00637D48"/>
    <w:rsid w:val="00640283"/>
    <w:rsid w:val="00640A6E"/>
    <w:rsid w:val="00641851"/>
    <w:rsid w:val="006419DB"/>
    <w:rsid w:val="006422D7"/>
    <w:rsid w:val="00642973"/>
    <w:rsid w:val="00642B2B"/>
    <w:rsid w:val="006434CF"/>
    <w:rsid w:val="00643E42"/>
    <w:rsid w:val="00644E50"/>
    <w:rsid w:val="00644E78"/>
    <w:rsid w:val="006458EA"/>
    <w:rsid w:val="00646D72"/>
    <w:rsid w:val="006476A7"/>
    <w:rsid w:val="00647784"/>
    <w:rsid w:val="00647A91"/>
    <w:rsid w:val="0065036A"/>
    <w:rsid w:val="00650B3C"/>
    <w:rsid w:val="00650EF8"/>
    <w:rsid w:val="006517E0"/>
    <w:rsid w:val="00651826"/>
    <w:rsid w:val="0065303F"/>
    <w:rsid w:val="00654318"/>
    <w:rsid w:val="00654580"/>
    <w:rsid w:val="00656671"/>
    <w:rsid w:val="006569EE"/>
    <w:rsid w:val="00656E1E"/>
    <w:rsid w:val="00657396"/>
    <w:rsid w:val="006601DF"/>
    <w:rsid w:val="0066082F"/>
    <w:rsid w:val="00660C72"/>
    <w:rsid w:val="00661031"/>
    <w:rsid w:val="0066185C"/>
    <w:rsid w:val="00663441"/>
    <w:rsid w:val="00663CC0"/>
    <w:rsid w:val="0066415E"/>
    <w:rsid w:val="00664DC4"/>
    <w:rsid w:val="00665AE6"/>
    <w:rsid w:val="00665D9A"/>
    <w:rsid w:val="00665E16"/>
    <w:rsid w:val="00665E88"/>
    <w:rsid w:val="00667682"/>
    <w:rsid w:val="00671B13"/>
    <w:rsid w:val="006725A5"/>
    <w:rsid w:val="00672639"/>
    <w:rsid w:val="0067295E"/>
    <w:rsid w:val="00672BB9"/>
    <w:rsid w:val="00672F0C"/>
    <w:rsid w:val="00674B40"/>
    <w:rsid w:val="00674CB1"/>
    <w:rsid w:val="00675BC0"/>
    <w:rsid w:val="006772D0"/>
    <w:rsid w:val="00677870"/>
    <w:rsid w:val="00677D98"/>
    <w:rsid w:val="00682319"/>
    <w:rsid w:val="006823F2"/>
    <w:rsid w:val="006828B6"/>
    <w:rsid w:val="00682DB2"/>
    <w:rsid w:val="00684540"/>
    <w:rsid w:val="00684881"/>
    <w:rsid w:val="00684EBD"/>
    <w:rsid w:val="00685865"/>
    <w:rsid w:val="0068683B"/>
    <w:rsid w:val="0068697E"/>
    <w:rsid w:val="006874A9"/>
    <w:rsid w:val="00690536"/>
    <w:rsid w:val="00690763"/>
    <w:rsid w:val="00690E7E"/>
    <w:rsid w:val="006917A5"/>
    <w:rsid w:val="006918BD"/>
    <w:rsid w:val="006932BF"/>
    <w:rsid w:val="00693326"/>
    <w:rsid w:val="006941FE"/>
    <w:rsid w:val="00694767"/>
    <w:rsid w:val="00695158"/>
    <w:rsid w:val="006951AE"/>
    <w:rsid w:val="00695542"/>
    <w:rsid w:val="00695786"/>
    <w:rsid w:val="0069693C"/>
    <w:rsid w:val="00696D23"/>
    <w:rsid w:val="00697A6F"/>
    <w:rsid w:val="00697E9D"/>
    <w:rsid w:val="006A0BB6"/>
    <w:rsid w:val="006A2214"/>
    <w:rsid w:val="006A2829"/>
    <w:rsid w:val="006A2AF3"/>
    <w:rsid w:val="006A2CAA"/>
    <w:rsid w:val="006A2EFD"/>
    <w:rsid w:val="006A46F9"/>
    <w:rsid w:val="006A7D62"/>
    <w:rsid w:val="006B04F1"/>
    <w:rsid w:val="006B1958"/>
    <w:rsid w:val="006B1A0E"/>
    <w:rsid w:val="006B221D"/>
    <w:rsid w:val="006B289B"/>
    <w:rsid w:val="006B2B70"/>
    <w:rsid w:val="006B2C0B"/>
    <w:rsid w:val="006B3A0C"/>
    <w:rsid w:val="006B41EA"/>
    <w:rsid w:val="006B5291"/>
    <w:rsid w:val="006B61DC"/>
    <w:rsid w:val="006B61F4"/>
    <w:rsid w:val="006B69BF"/>
    <w:rsid w:val="006B6B50"/>
    <w:rsid w:val="006C192C"/>
    <w:rsid w:val="006C2E3E"/>
    <w:rsid w:val="006C3AE7"/>
    <w:rsid w:val="006C400E"/>
    <w:rsid w:val="006C4093"/>
    <w:rsid w:val="006C449F"/>
    <w:rsid w:val="006C59D5"/>
    <w:rsid w:val="006C618A"/>
    <w:rsid w:val="006C62B9"/>
    <w:rsid w:val="006C6653"/>
    <w:rsid w:val="006C6919"/>
    <w:rsid w:val="006C6AC6"/>
    <w:rsid w:val="006C6AFD"/>
    <w:rsid w:val="006C6B11"/>
    <w:rsid w:val="006C6CDC"/>
    <w:rsid w:val="006D0786"/>
    <w:rsid w:val="006D15A1"/>
    <w:rsid w:val="006D171F"/>
    <w:rsid w:val="006D1EC3"/>
    <w:rsid w:val="006D2B59"/>
    <w:rsid w:val="006D327C"/>
    <w:rsid w:val="006D363D"/>
    <w:rsid w:val="006D399F"/>
    <w:rsid w:val="006D44F7"/>
    <w:rsid w:val="006D4E21"/>
    <w:rsid w:val="006D518F"/>
    <w:rsid w:val="006D56C3"/>
    <w:rsid w:val="006D66A1"/>
    <w:rsid w:val="006D7380"/>
    <w:rsid w:val="006D7A1A"/>
    <w:rsid w:val="006E01DA"/>
    <w:rsid w:val="006E0A67"/>
    <w:rsid w:val="006E2F6F"/>
    <w:rsid w:val="006E3301"/>
    <w:rsid w:val="006E3B4E"/>
    <w:rsid w:val="006E409C"/>
    <w:rsid w:val="006E556F"/>
    <w:rsid w:val="006E614A"/>
    <w:rsid w:val="006E62BA"/>
    <w:rsid w:val="006E6C26"/>
    <w:rsid w:val="006E6DDE"/>
    <w:rsid w:val="006E6FBE"/>
    <w:rsid w:val="006E7276"/>
    <w:rsid w:val="006E796E"/>
    <w:rsid w:val="006E7E1E"/>
    <w:rsid w:val="006F067C"/>
    <w:rsid w:val="006F07F7"/>
    <w:rsid w:val="006F0B87"/>
    <w:rsid w:val="006F2707"/>
    <w:rsid w:val="006F3343"/>
    <w:rsid w:val="006F3717"/>
    <w:rsid w:val="006F3722"/>
    <w:rsid w:val="006F5C8E"/>
    <w:rsid w:val="006F60D9"/>
    <w:rsid w:val="006F629E"/>
    <w:rsid w:val="006F66E6"/>
    <w:rsid w:val="006F674F"/>
    <w:rsid w:val="006F7A11"/>
    <w:rsid w:val="006F7AB6"/>
    <w:rsid w:val="00700984"/>
    <w:rsid w:val="00700A57"/>
    <w:rsid w:val="00700B15"/>
    <w:rsid w:val="00701116"/>
    <w:rsid w:val="007013C5"/>
    <w:rsid w:val="00701466"/>
    <w:rsid w:val="00701A10"/>
    <w:rsid w:val="00701F16"/>
    <w:rsid w:val="00702104"/>
    <w:rsid w:val="00702FE9"/>
    <w:rsid w:val="00703AC1"/>
    <w:rsid w:val="007042F9"/>
    <w:rsid w:val="00704E75"/>
    <w:rsid w:val="0070514F"/>
    <w:rsid w:val="0070572A"/>
    <w:rsid w:val="00706972"/>
    <w:rsid w:val="007069EA"/>
    <w:rsid w:val="00706B2C"/>
    <w:rsid w:val="00707B0F"/>
    <w:rsid w:val="007104C9"/>
    <w:rsid w:val="00711051"/>
    <w:rsid w:val="007117A6"/>
    <w:rsid w:val="00711D66"/>
    <w:rsid w:val="00711E78"/>
    <w:rsid w:val="0071206D"/>
    <w:rsid w:val="00712327"/>
    <w:rsid w:val="00712439"/>
    <w:rsid w:val="00712DB3"/>
    <w:rsid w:val="00713251"/>
    <w:rsid w:val="0071330B"/>
    <w:rsid w:val="007141BF"/>
    <w:rsid w:val="00714388"/>
    <w:rsid w:val="00714C18"/>
    <w:rsid w:val="0071556B"/>
    <w:rsid w:val="00715FB8"/>
    <w:rsid w:val="0071638D"/>
    <w:rsid w:val="007171B6"/>
    <w:rsid w:val="007210EE"/>
    <w:rsid w:val="00721728"/>
    <w:rsid w:val="00722361"/>
    <w:rsid w:val="0072325F"/>
    <w:rsid w:val="007232ED"/>
    <w:rsid w:val="0072359E"/>
    <w:rsid w:val="00724828"/>
    <w:rsid w:val="00724AA8"/>
    <w:rsid w:val="00724B0B"/>
    <w:rsid w:val="0072513B"/>
    <w:rsid w:val="007253D2"/>
    <w:rsid w:val="007254B3"/>
    <w:rsid w:val="00725ED6"/>
    <w:rsid w:val="0072636A"/>
    <w:rsid w:val="007268F9"/>
    <w:rsid w:val="00730B92"/>
    <w:rsid w:val="00730FD6"/>
    <w:rsid w:val="007313E8"/>
    <w:rsid w:val="00731839"/>
    <w:rsid w:val="00731E88"/>
    <w:rsid w:val="00732AA6"/>
    <w:rsid w:val="00733691"/>
    <w:rsid w:val="00733CF4"/>
    <w:rsid w:val="00733E37"/>
    <w:rsid w:val="00734810"/>
    <w:rsid w:val="00734B3B"/>
    <w:rsid w:val="00734C74"/>
    <w:rsid w:val="00734DAB"/>
    <w:rsid w:val="00735050"/>
    <w:rsid w:val="007354DC"/>
    <w:rsid w:val="0073555A"/>
    <w:rsid w:val="0073684E"/>
    <w:rsid w:val="00736C93"/>
    <w:rsid w:val="00737B57"/>
    <w:rsid w:val="00740295"/>
    <w:rsid w:val="00741AE0"/>
    <w:rsid w:val="00741E71"/>
    <w:rsid w:val="00742DC8"/>
    <w:rsid w:val="00743166"/>
    <w:rsid w:val="00743390"/>
    <w:rsid w:val="0074519F"/>
    <w:rsid w:val="00745BDA"/>
    <w:rsid w:val="007463F5"/>
    <w:rsid w:val="00746568"/>
    <w:rsid w:val="007465BD"/>
    <w:rsid w:val="00746EE4"/>
    <w:rsid w:val="00750817"/>
    <w:rsid w:val="00750898"/>
    <w:rsid w:val="00751BEE"/>
    <w:rsid w:val="007524A3"/>
    <w:rsid w:val="00752F09"/>
    <w:rsid w:val="007533D9"/>
    <w:rsid w:val="007546A8"/>
    <w:rsid w:val="00755363"/>
    <w:rsid w:val="00755822"/>
    <w:rsid w:val="00755BEB"/>
    <w:rsid w:val="007574BB"/>
    <w:rsid w:val="007601E0"/>
    <w:rsid w:val="0076033C"/>
    <w:rsid w:val="00760646"/>
    <w:rsid w:val="00761CF3"/>
    <w:rsid w:val="00761E1E"/>
    <w:rsid w:val="00761E4A"/>
    <w:rsid w:val="00761E8F"/>
    <w:rsid w:val="007626CB"/>
    <w:rsid w:val="00763493"/>
    <w:rsid w:val="007646A2"/>
    <w:rsid w:val="0076523D"/>
    <w:rsid w:val="0076650D"/>
    <w:rsid w:val="007666D5"/>
    <w:rsid w:val="007675BC"/>
    <w:rsid w:val="00767EFE"/>
    <w:rsid w:val="00771738"/>
    <w:rsid w:val="00771949"/>
    <w:rsid w:val="007720C6"/>
    <w:rsid w:val="007722DE"/>
    <w:rsid w:val="007729C3"/>
    <w:rsid w:val="00772E2B"/>
    <w:rsid w:val="00773083"/>
    <w:rsid w:val="00774A4B"/>
    <w:rsid w:val="00775384"/>
    <w:rsid w:val="0077747B"/>
    <w:rsid w:val="00780940"/>
    <w:rsid w:val="00781E1D"/>
    <w:rsid w:val="0078206E"/>
    <w:rsid w:val="0078371E"/>
    <w:rsid w:val="00783AB5"/>
    <w:rsid w:val="00783BD9"/>
    <w:rsid w:val="00784234"/>
    <w:rsid w:val="00784D55"/>
    <w:rsid w:val="00785223"/>
    <w:rsid w:val="00785B24"/>
    <w:rsid w:val="00786167"/>
    <w:rsid w:val="00786334"/>
    <w:rsid w:val="00786F4E"/>
    <w:rsid w:val="00787770"/>
    <w:rsid w:val="00787AA6"/>
    <w:rsid w:val="00790B6D"/>
    <w:rsid w:val="00792325"/>
    <w:rsid w:val="00793DF9"/>
    <w:rsid w:val="007940A3"/>
    <w:rsid w:val="00794357"/>
    <w:rsid w:val="00794661"/>
    <w:rsid w:val="00794B35"/>
    <w:rsid w:val="00794E69"/>
    <w:rsid w:val="00795FA8"/>
    <w:rsid w:val="00796D3D"/>
    <w:rsid w:val="007979D5"/>
    <w:rsid w:val="007A0951"/>
    <w:rsid w:val="007A0A6E"/>
    <w:rsid w:val="007A0B85"/>
    <w:rsid w:val="007A1863"/>
    <w:rsid w:val="007A1C80"/>
    <w:rsid w:val="007A213F"/>
    <w:rsid w:val="007A2545"/>
    <w:rsid w:val="007A2A97"/>
    <w:rsid w:val="007A4F31"/>
    <w:rsid w:val="007A52D5"/>
    <w:rsid w:val="007A5D9C"/>
    <w:rsid w:val="007A5FC7"/>
    <w:rsid w:val="007A60D9"/>
    <w:rsid w:val="007A686A"/>
    <w:rsid w:val="007A7535"/>
    <w:rsid w:val="007A76A2"/>
    <w:rsid w:val="007B11C3"/>
    <w:rsid w:val="007B1703"/>
    <w:rsid w:val="007B2F43"/>
    <w:rsid w:val="007B31DD"/>
    <w:rsid w:val="007B3BBE"/>
    <w:rsid w:val="007B41E2"/>
    <w:rsid w:val="007B51E6"/>
    <w:rsid w:val="007B5481"/>
    <w:rsid w:val="007B6471"/>
    <w:rsid w:val="007B659B"/>
    <w:rsid w:val="007B742D"/>
    <w:rsid w:val="007B7A7E"/>
    <w:rsid w:val="007C0AE4"/>
    <w:rsid w:val="007C1288"/>
    <w:rsid w:val="007C191B"/>
    <w:rsid w:val="007C2930"/>
    <w:rsid w:val="007C30CA"/>
    <w:rsid w:val="007C32C7"/>
    <w:rsid w:val="007C4D4F"/>
    <w:rsid w:val="007C4F78"/>
    <w:rsid w:val="007C575F"/>
    <w:rsid w:val="007C673B"/>
    <w:rsid w:val="007C6D77"/>
    <w:rsid w:val="007C6F17"/>
    <w:rsid w:val="007C75F7"/>
    <w:rsid w:val="007C7EFF"/>
    <w:rsid w:val="007D008E"/>
    <w:rsid w:val="007D0A26"/>
    <w:rsid w:val="007D0E86"/>
    <w:rsid w:val="007D0FC4"/>
    <w:rsid w:val="007D17AE"/>
    <w:rsid w:val="007D1BF1"/>
    <w:rsid w:val="007D1D80"/>
    <w:rsid w:val="007D266C"/>
    <w:rsid w:val="007D29B6"/>
    <w:rsid w:val="007D3391"/>
    <w:rsid w:val="007D3559"/>
    <w:rsid w:val="007D414E"/>
    <w:rsid w:val="007D45F9"/>
    <w:rsid w:val="007D4745"/>
    <w:rsid w:val="007D59B2"/>
    <w:rsid w:val="007D68F8"/>
    <w:rsid w:val="007D750D"/>
    <w:rsid w:val="007D76F0"/>
    <w:rsid w:val="007E0BEA"/>
    <w:rsid w:val="007E18EF"/>
    <w:rsid w:val="007E20B0"/>
    <w:rsid w:val="007E2115"/>
    <w:rsid w:val="007E2D8E"/>
    <w:rsid w:val="007E2E5D"/>
    <w:rsid w:val="007E327B"/>
    <w:rsid w:val="007E5498"/>
    <w:rsid w:val="007E5723"/>
    <w:rsid w:val="007E581F"/>
    <w:rsid w:val="007E60EB"/>
    <w:rsid w:val="007E6636"/>
    <w:rsid w:val="007E70F5"/>
    <w:rsid w:val="007E7378"/>
    <w:rsid w:val="007E744C"/>
    <w:rsid w:val="007E76F8"/>
    <w:rsid w:val="007E7AA0"/>
    <w:rsid w:val="007F0BD8"/>
    <w:rsid w:val="007F0E48"/>
    <w:rsid w:val="007F267E"/>
    <w:rsid w:val="007F2CDF"/>
    <w:rsid w:val="007F3315"/>
    <w:rsid w:val="007F4182"/>
    <w:rsid w:val="007F4376"/>
    <w:rsid w:val="007F5BC9"/>
    <w:rsid w:val="007F603D"/>
    <w:rsid w:val="007F7CAD"/>
    <w:rsid w:val="0080045C"/>
    <w:rsid w:val="008008E2"/>
    <w:rsid w:val="00801669"/>
    <w:rsid w:val="00802B8F"/>
    <w:rsid w:val="00803723"/>
    <w:rsid w:val="00805277"/>
    <w:rsid w:val="0080711B"/>
    <w:rsid w:val="00811106"/>
    <w:rsid w:val="00811265"/>
    <w:rsid w:val="00811809"/>
    <w:rsid w:val="00811965"/>
    <w:rsid w:val="00813920"/>
    <w:rsid w:val="008139E1"/>
    <w:rsid w:val="00814D46"/>
    <w:rsid w:val="008159C6"/>
    <w:rsid w:val="00815CE2"/>
    <w:rsid w:val="00815F34"/>
    <w:rsid w:val="008178C1"/>
    <w:rsid w:val="00817C67"/>
    <w:rsid w:val="00820400"/>
    <w:rsid w:val="00820B56"/>
    <w:rsid w:val="00820C58"/>
    <w:rsid w:val="00820CC3"/>
    <w:rsid w:val="008212F3"/>
    <w:rsid w:val="00821300"/>
    <w:rsid w:val="00822798"/>
    <w:rsid w:val="00823852"/>
    <w:rsid w:val="00824D00"/>
    <w:rsid w:val="008256BE"/>
    <w:rsid w:val="00825756"/>
    <w:rsid w:val="008270EF"/>
    <w:rsid w:val="0082721D"/>
    <w:rsid w:val="0082726F"/>
    <w:rsid w:val="008277EF"/>
    <w:rsid w:val="00827CD6"/>
    <w:rsid w:val="0083077A"/>
    <w:rsid w:val="00830AAD"/>
    <w:rsid w:val="00831571"/>
    <w:rsid w:val="00831C8E"/>
    <w:rsid w:val="00832AAA"/>
    <w:rsid w:val="008334D0"/>
    <w:rsid w:val="00833576"/>
    <w:rsid w:val="0083398E"/>
    <w:rsid w:val="00833B63"/>
    <w:rsid w:val="00835421"/>
    <w:rsid w:val="008365F7"/>
    <w:rsid w:val="00837963"/>
    <w:rsid w:val="008379D8"/>
    <w:rsid w:val="00840031"/>
    <w:rsid w:val="008407DA"/>
    <w:rsid w:val="00840806"/>
    <w:rsid w:val="0084093F"/>
    <w:rsid w:val="00841224"/>
    <w:rsid w:val="0084286E"/>
    <w:rsid w:val="00842EE9"/>
    <w:rsid w:val="00843CE0"/>
    <w:rsid w:val="00845633"/>
    <w:rsid w:val="008459A5"/>
    <w:rsid w:val="00846BF5"/>
    <w:rsid w:val="00846C2A"/>
    <w:rsid w:val="00850234"/>
    <w:rsid w:val="0085055B"/>
    <w:rsid w:val="008517D1"/>
    <w:rsid w:val="00851FAB"/>
    <w:rsid w:val="0085299D"/>
    <w:rsid w:val="00853026"/>
    <w:rsid w:val="008536B1"/>
    <w:rsid w:val="00853B8C"/>
    <w:rsid w:val="00853BD3"/>
    <w:rsid w:val="008560EC"/>
    <w:rsid w:val="0085660F"/>
    <w:rsid w:val="0085697F"/>
    <w:rsid w:val="008571B3"/>
    <w:rsid w:val="008575B3"/>
    <w:rsid w:val="00857767"/>
    <w:rsid w:val="0085778B"/>
    <w:rsid w:val="00857954"/>
    <w:rsid w:val="008606B6"/>
    <w:rsid w:val="008618FF"/>
    <w:rsid w:val="008626A2"/>
    <w:rsid w:val="008626CE"/>
    <w:rsid w:val="00862CA1"/>
    <w:rsid w:val="00862EF8"/>
    <w:rsid w:val="008631AF"/>
    <w:rsid w:val="008635F8"/>
    <w:rsid w:val="00864991"/>
    <w:rsid w:val="00866EBA"/>
    <w:rsid w:val="00870483"/>
    <w:rsid w:val="00870721"/>
    <w:rsid w:val="00870CBD"/>
    <w:rsid w:val="00870EEE"/>
    <w:rsid w:val="008727D1"/>
    <w:rsid w:val="00872B8B"/>
    <w:rsid w:val="00872DC7"/>
    <w:rsid w:val="00873419"/>
    <w:rsid w:val="0087351E"/>
    <w:rsid w:val="00873868"/>
    <w:rsid w:val="00873BE7"/>
    <w:rsid w:val="00874A24"/>
    <w:rsid w:val="00874B5C"/>
    <w:rsid w:val="00876468"/>
    <w:rsid w:val="0087683B"/>
    <w:rsid w:val="00877A40"/>
    <w:rsid w:val="0087D199"/>
    <w:rsid w:val="0088038C"/>
    <w:rsid w:val="008817B3"/>
    <w:rsid w:val="00881CB0"/>
    <w:rsid w:val="00881FC5"/>
    <w:rsid w:val="008826C3"/>
    <w:rsid w:val="008827DC"/>
    <w:rsid w:val="00884415"/>
    <w:rsid w:val="00885421"/>
    <w:rsid w:val="00885FB5"/>
    <w:rsid w:val="008878A3"/>
    <w:rsid w:val="00887F7B"/>
    <w:rsid w:val="00890281"/>
    <w:rsid w:val="00890D7B"/>
    <w:rsid w:val="00890E24"/>
    <w:rsid w:val="00890ED5"/>
    <w:rsid w:val="00891019"/>
    <w:rsid w:val="00891285"/>
    <w:rsid w:val="00891D6F"/>
    <w:rsid w:val="0089296F"/>
    <w:rsid w:val="00892B0E"/>
    <w:rsid w:val="0089458E"/>
    <w:rsid w:val="00894A68"/>
    <w:rsid w:val="00894D16"/>
    <w:rsid w:val="00895AF2"/>
    <w:rsid w:val="008A0911"/>
    <w:rsid w:val="008A11FF"/>
    <w:rsid w:val="008A1A6C"/>
    <w:rsid w:val="008A2942"/>
    <w:rsid w:val="008A3417"/>
    <w:rsid w:val="008A45D5"/>
    <w:rsid w:val="008A57DE"/>
    <w:rsid w:val="008A5E5A"/>
    <w:rsid w:val="008A6672"/>
    <w:rsid w:val="008A68F3"/>
    <w:rsid w:val="008A6F2C"/>
    <w:rsid w:val="008A7BCA"/>
    <w:rsid w:val="008B0251"/>
    <w:rsid w:val="008B0323"/>
    <w:rsid w:val="008B08AF"/>
    <w:rsid w:val="008B32A5"/>
    <w:rsid w:val="008B3EA0"/>
    <w:rsid w:val="008B44C0"/>
    <w:rsid w:val="008B493A"/>
    <w:rsid w:val="008B500A"/>
    <w:rsid w:val="008B6732"/>
    <w:rsid w:val="008B67A2"/>
    <w:rsid w:val="008B6C56"/>
    <w:rsid w:val="008B6CDB"/>
    <w:rsid w:val="008B6EFF"/>
    <w:rsid w:val="008B78D4"/>
    <w:rsid w:val="008C0014"/>
    <w:rsid w:val="008C01CE"/>
    <w:rsid w:val="008C08AE"/>
    <w:rsid w:val="008C13AC"/>
    <w:rsid w:val="008C2261"/>
    <w:rsid w:val="008C22EE"/>
    <w:rsid w:val="008C242A"/>
    <w:rsid w:val="008C24AD"/>
    <w:rsid w:val="008C2DA1"/>
    <w:rsid w:val="008C2F92"/>
    <w:rsid w:val="008C36E6"/>
    <w:rsid w:val="008C3A6A"/>
    <w:rsid w:val="008C3A95"/>
    <w:rsid w:val="008C3E6A"/>
    <w:rsid w:val="008C429C"/>
    <w:rsid w:val="008C4461"/>
    <w:rsid w:val="008C4580"/>
    <w:rsid w:val="008C5570"/>
    <w:rsid w:val="008C55B2"/>
    <w:rsid w:val="008C5C06"/>
    <w:rsid w:val="008C6CC5"/>
    <w:rsid w:val="008C6F5E"/>
    <w:rsid w:val="008C7130"/>
    <w:rsid w:val="008D178A"/>
    <w:rsid w:val="008D1925"/>
    <w:rsid w:val="008D1B1D"/>
    <w:rsid w:val="008D272F"/>
    <w:rsid w:val="008D315B"/>
    <w:rsid w:val="008D33A8"/>
    <w:rsid w:val="008D434A"/>
    <w:rsid w:val="008D46C2"/>
    <w:rsid w:val="008D56EF"/>
    <w:rsid w:val="008D646E"/>
    <w:rsid w:val="008D6B00"/>
    <w:rsid w:val="008D6DF8"/>
    <w:rsid w:val="008D6E82"/>
    <w:rsid w:val="008E0251"/>
    <w:rsid w:val="008E0823"/>
    <w:rsid w:val="008E11B4"/>
    <w:rsid w:val="008E13C3"/>
    <w:rsid w:val="008E161B"/>
    <w:rsid w:val="008E22E3"/>
    <w:rsid w:val="008E2CB5"/>
    <w:rsid w:val="008E321A"/>
    <w:rsid w:val="008E32B6"/>
    <w:rsid w:val="008E3392"/>
    <w:rsid w:val="008E38D0"/>
    <w:rsid w:val="008E4D1C"/>
    <w:rsid w:val="008E70CC"/>
    <w:rsid w:val="008E7BC0"/>
    <w:rsid w:val="008F0279"/>
    <w:rsid w:val="008F06CF"/>
    <w:rsid w:val="008F0983"/>
    <w:rsid w:val="008F11C8"/>
    <w:rsid w:val="008F1A0F"/>
    <w:rsid w:val="008F1C50"/>
    <w:rsid w:val="008F26A4"/>
    <w:rsid w:val="008F2C96"/>
    <w:rsid w:val="008F485C"/>
    <w:rsid w:val="008F4B86"/>
    <w:rsid w:val="008F4B9B"/>
    <w:rsid w:val="008F4E8F"/>
    <w:rsid w:val="008F5FF4"/>
    <w:rsid w:val="008F6353"/>
    <w:rsid w:val="008F729A"/>
    <w:rsid w:val="00900B9F"/>
    <w:rsid w:val="00900C49"/>
    <w:rsid w:val="00900CA8"/>
    <w:rsid w:val="00902ED4"/>
    <w:rsid w:val="0090312C"/>
    <w:rsid w:val="00903636"/>
    <w:rsid w:val="009039D6"/>
    <w:rsid w:val="00903D6D"/>
    <w:rsid w:val="00903FE7"/>
    <w:rsid w:val="009041ED"/>
    <w:rsid w:val="00904905"/>
    <w:rsid w:val="00904A1E"/>
    <w:rsid w:val="00905603"/>
    <w:rsid w:val="0090595B"/>
    <w:rsid w:val="00905DF0"/>
    <w:rsid w:val="00906FCB"/>
    <w:rsid w:val="00910958"/>
    <w:rsid w:val="0091119F"/>
    <w:rsid w:val="00912211"/>
    <w:rsid w:val="00912E59"/>
    <w:rsid w:val="009135C5"/>
    <w:rsid w:val="00914420"/>
    <w:rsid w:val="0091476D"/>
    <w:rsid w:val="00914B3D"/>
    <w:rsid w:val="00914FC4"/>
    <w:rsid w:val="009203D4"/>
    <w:rsid w:val="00920934"/>
    <w:rsid w:val="00920B21"/>
    <w:rsid w:val="00920D2E"/>
    <w:rsid w:val="00922BFD"/>
    <w:rsid w:val="00923C69"/>
    <w:rsid w:val="00924C35"/>
    <w:rsid w:val="009254D0"/>
    <w:rsid w:val="009261CE"/>
    <w:rsid w:val="00926A20"/>
    <w:rsid w:val="00927534"/>
    <w:rsid w:val="00927A8D"/>
    <w:rsid w:val="00927ABA"/>
    <w:rsid w:val="00927C83"/>
    <w:rsid w:val="00927F10"/>
    <w:rsid w:val="0093031C"/>
    <w:rsid w:val="00930EA7"/>
    <w:rsid w:val="00931C81"/>
    <w:rsid w:val="00932D1E"/>
    <w:rsid w:val="00933149"/>
    <w:rsid w:val="00933E0A"/>
    <w:rsid w:val="00934B9B"/>
    <w:rsid w:val="00936572"/>
    <w:rsid w:val="00936E29"/>
    <w:rsid w:val="00936FDA"/>
    <w:rsid w:val="009377BC"/>
    <w:rsid w:val="009378B8"/>
    <w:rsid w:val="00937D8D"/>
    <w:rsid w:val="00937EC5"/>
    <w:rsid w:val="00940216"/>
    <w:rsid w:val="0094027A"/>
    <w:rsid w:val="00940DCF"/>
    <w:rsid w:val="0094110C"/>
    <w:rsid w:val="009425D0"/>
    <w:rsid w:val="009440AE"/>
    <w:rsid w:val="0094435F"/>
    <w:rsid w:val="0094460B"/>
    <w:rsid w:val="00944661"/>
    <w:rsid w:val="009461C9"/>
    <w:rsid w:val="009468E6"/>
    <w:rsid w:val="00947FB4"/>
    <w:rsid w:val="00950939"/>
    <w:rsid w:val="00950DDD"/>
    <w:rsid w:val="00953147"/>
    <w:rsid w:val="00953D01"/>
    <w:rsid w:val="0095457D"/>
    <w:rsid w:val="00954659"/>
    <w:rsid w:val="00954D7B"/>
    <w:rsid w:val="009558F7"/>
    <w:rsid w:val="0095713E"/>
    <w:rsid w:val="00957AD0"/>
    <w:rsid w:val="00957E17"/>
    <w:rsid w:val="00960E49"/>
    <w:rsid w:val="00961089"/>
    <w:rsid w:val="00961B4E"/>
    <w:rsid w:val="00962607"/>
    <w:rsid w:val="00962E89"/>
    <w:rsid w:val="0096365F"/>
    <w:rsid w:val="009639E5"/>
    <w:rsid w:val="00966082"/>
    <w:rsid w:val="00966CA9"/>
    <w:rsid w:val="00967BE7"/>
    <w:rsid w:val="009703FA"/>
    <w:rsid w:val="00971AB8"/>
    <w:rsid w:val="00971D8D"/>
    <w:rsid w:val="00973015"/>
    <w:rsid w:val="00973F6C"/>
    <w:rsid w:val="00973FDA"/>
    <w:rsid w:val="00974244"/>
    <w:rsid w:val="00974A09"/>
    <w:rsid w:val="00974BCD"/>
    <w:rsid w:val="00975027"/>
    <w:rsid w:val="009750EB"/>
    <w:rsid w:val="00975130"/>
    <w:rsid w:val="009753DE"/>
    <w:rsid w:val="0097597C"/>
    <w:rsid w:val="00976BC1"/>
    <w:rsid w:val="00976D40"/>
    <w:rsid w:val="0097716C"/>
    <w:rsid w:val="009776E5"/>
    <w:rsid w:val="00980DE8"/>
    <w:rsid w:val="00981444"/>
    <w:rsid w:val="00981488"/>
    <w:rsid w:val="009820CE"/>
    <w:rsid w:val="0098248C"/>
    <w:rsid w:val="00982546"/>
    <w:rsid w:val="00983285"/>
    <w:rsid w:val="009846A5"/>
    <w:rsid w:val="00985089"/>
    <w:rsid w:val="00985EEE"/>
    <w:rsid w:val="009869EB"/>
    <w:rsid w:val="00990818"/>
    <w:rsid w:val="00990901"/>
    <w:rsid w:val="0099274C"/>
    <w:rsid w:val="00992EDB"/>
    <w:rsid w:val="009934F1"/>
    <w:rsid w:val="009937C8"/>
    <w:rsid w:val="0099392F"/>
    <w:rsid w:val="00993982"/>
    <w:rsid w:val="009948EB"/>
    <w:rsid w:val="00995CE1"/>
    <w:rsid w:val="0099652D"/>
    <w:rsid w:val="00997234"/>
    <w:rsid w:val="00997302"/>
    <w:rsid w:val="0099760E"/>
    <w:rsid w:val="00997BCD"/>
    <w:rsid w:val="009A02BA"/>
    <w:rsid w:val="009A0332"/>
    <w:rsid w:val="009A05B3"/>
    <w:rsid w:val="009A0B73"/>
    <w:rsid w:val="009A11F3"/>
    <w:rsid w:val="009A1249"/>
    <w:rsid w:val="009A23FA"/>
    <w:rsid w:val="009A241F"/>
    <w:rsid w:val="009A24CB"/>
    <w:rsid w:val="009A2729"/>
    <w:rsid w:val="009A3854"/>
    <w:rsid w:val="009A397E"/>
    <w:rsid w:val="009A4549"/>
    <w:rsid w:val="009A4A26"/>
    <w:rsid w:val="009A4C0A"/>
    <w:rsid w:val="009A5E54"/>
    <w:rsid w:val="009A6BB3"/>
    <w:rsid w:val="009A6FC1"/>
    <w:rsid w:val="009A7A9F"/>
    <w:rsid w:val="009A7B46"/>
    <w:rsid w:val="009B076F"/>
    <w:rsid w:val="009B0FB1"/>
    <w:rsid w:val="009B27A6"/>
    <w:rsid w:val="009B2DAE"/>
    <w:rsid w:val="009B362E"/>
    <w:rsid w:val="009B38F4"/>
    <w:rsid w:val="009B3D4F"/>
    <w:rsid w:val="009B4187"/>
    <w:rsid w:val="009B41C3"/>
    <w:rsid w:val="009B4CE5"/>
    <w:rsid w:val="009B5888"/>
    <w:rsid w:val="009B5EB0"/>
    <w:rsid w:val="009B6788"/>
    <w:rsid w:val="009B7112"/>
    <w:rsid w:val="009B7392"/>
    <w:rsid w:val="009C0351"/>
    <w:rsid w:val="009C06BF"/>
    <w:rsid w:val="009C0FD6"/>
    <w:rsid w:val="009C194B"/>
    <w:rsid w:val="009C1EB5"/>
    <w:rsid w:val="009C2510"/>
    <w:rsid w:val="009C2741"/>
    <w:rsid w:val="009C3745"/>
    <w:rsid w:val="009C44A3"/>
    <w:rsid w:val="009C593F"/>
    <w:rsid w:val="009C5BF6"/>
    <w:rsid w:val="009C6508"/>
    <w:rsid w:val="009C66AE"/>
    <w:rsid w:val="009C66F1"/>
    <w:rsid w:val="009C68D2"/>
    <w:rsid w:val="009C6A6E"/>
    <w:rsid w:val="009C70E9"/>
    <w:rsid w:val="009C71F5"/>
    <w:rsid w:val="009C75D5"/>
    <w:rsid w:val="009C7B4D"/>
    <w:rsid w:val="009D01AA"/>
    <w:rsid w:val="009D021B"/>
    <w:rsid w:val="009D0D63"/>
    <w:rsid w:val="009D0E6D"/>
    <w:rsid w:val="009D1452"/>
    <w:rsid w:val="009D1B74"/>
    <w:rsid w:val="009D1BAC"/>
    <w:rsid w:val="009D1D0B"/>
    <w:rsid w:val="009D2747"/>
    <w:rsid w:val="009D2ABF"/>
    <w:rsid w:val="009D3833"/>
    <w:rsid w:val="009D39CB"/>
    <w:rsid w:val="009D44EA"/>
    <w:rsid w:val="009D49CE"/>
    <w:rsid w:val="009D4A0E"/>
    <w:rsid w:val="009D4AF7"/>
    <w:rsid w:val="009E0C15"/>
    <w:rsid w:val="009E10C1"/>
    <w:rsid w:val="009E1424"/>
    <w:rsid w:val="009E229F"/>
    <w:rsid w:val="009E30B0"/>
    <w:rsid w:val="009E3D84"/>
    <w:rsid w:val="009E3E38"/>
    <w:rsid w:val="009E3F58"/>
    <w:rsid w:val="009E5008"/>
    <w:rsid w:val="009E5FE6"/>
    <w:rsid w:val="009E6E1D"/>
    <w:rsid w:val="009E722B"/>
    <w:rsid w:val="009E73BA"/>
    <w:rsid w:val="009E7892"/>
    <w:rsid w:val="009E795F"/>
    <w:rsid w:val="009E7D2C"/>
    <w:rsid w:val="009F0419"/>
    <w:rsid w:val="009F0428"/>
    <w:rsid w:val="009F094B"/>
    <w:rsid w:val="009F0AAA"/>
    <w:rsid w:val="009F0F8B"/>
    <w:rsid w:val="009F125A"/>
    <w:rsid w:val="009F177C"/>
    <w:rsid w:val="009F1FA3"/>
    <w:rsid w:val="009F3CB1"/>
    <w:rsid w:val="009F3D03"/>
    <w:rsid w:val="009F3F38"/>
    <w:rsid w:val="009F4448"/>
    <w:rsid w:val="009F44A8"/>
    <w:rsid w:val="009F4740"/>
    <w:rsid w:val="009F49EA"/>
    <w:rsid w:val="009F4B0B"/>
    <w:rsid w:val="009F5B13"/>
    <w:rsid w:val="009F5F69"/>
    <w:rsid w:val="009F658A"/>
    <w:rsid w:val="009F67D1"/>
    <w:rsid w:val="009F6925"/>
    <w:rsid w:val="009F6C60"/>
    <w:rsid w:val="009F6EF0"/>
    <w:rsid w:val="00A00B26"/>
    <w:rsid w:val="00A01020"/>
    <w:rsid w:val="00A0205E"/>
    <w:rsid w:val="00A0270F"/>
    <w:rsid w:val="00A03454"/>
    <w:rsid w:val="00A03F72"/>
    <w:rsid w:val="00A0436C"/>
    <w:rsid w:val="00A04FD4"/>
    <w:rsid w:val="00A05A77"/>
    <w:rsid w:val="00A064A0"/>
    <w:rsid w:val="00A0691B"/>
    <w:rsid w:val="00A072FA"/>
    <w:rsid w:val="00A077B6"/>
    <w:rsid w:val="00A0788C"/>
    <w:rsid w:val="00A07D00"/>
    <w:rsid w:val="00A07F39"/>
    <w:rsid w:val="00A10DB5"/>
    <w:rsid w:val="00A11B5C"/>
    <w:rsid w:val="00A11CB5"/>
    <w:rsid w:val="00A12A26"/>
    <w:rsid w:val="00A12A78"/>
    <w:rsid w:val="00A134AE"/>
    <w:rsid w:val="00A1420F"/>
    <w:rsid w:val="00A14DAA"/>
    <w:rsid w:val="00A14E36"/>
    <w:rsid w:val="00A153E5"/>
    <w:rsid w:val="00A15C10"/>
    <w:rsid w:val="00A16597"/>
    <w:rsid w:val="00A167F6"/>
    <w:rsid w:val="00A16BB7"/>
    <w:rsid w:val="00A17242"/>
    <w:rsid w:val="00A17967"/>
    <w:rsid w:val="00A17AC6"/>
    <w:rsid w:val="00A20378"/>
    <w:rsid w:val="00A2129E"/>
    <w:rsid w:val="00A212E0"/>
    <w:rsid w:val="00A21596"/>
    <w:rsid w:val="00A21819"/>
    <w:rsid w:val="00A21FE0"/>
    <w:rsid w:val="00A225E9"/>
    <w:rsid w:val="00A2470D"/>
    <w:rsid w:val="00A249EF"/>
    <w:rsid w:val="00A24EF1"/>
    <w:rsid w:val="00A250B3"/>
    <w:rsid w:val="00A2604A"/>
    <w:rsid w:val="00A26871"/>
    <w:rsid w:val="00A27204"/>
    <w:rsid w:val="00A30A8D"/>
    <w:rsid w:val="00A31656"/>
    <w:rsid w:val="00A316EF"/>
    <w:rsid w:val="00A316F8"/>
    <w:rsid w:val="00A3242E"/>
    <w:rsid w:val="00A32A27"/>
    <w:rsid w:val="00A3448E"/>
    <w:rsid w:val="00A356A5"/>
    <w:rsid w:val="00A3581C"/>
    <w:rsid w:val="00A3775A"/>
    <w:rsid w:val="00A41896"/>
    <w:rsid w:val="00A41C65"/>
    <w:rsid w:val="00A41EA2"/>
    <w:rsid w:val="00A42B58"/>
    <w:rsid w:val="00A42C81"/>
    <w:rsid w:val="00A45115"/>
    <w:rsid w:val="00A453E5"/>
    <w:rsid w:val="00A45B03"/>
    <w:rsid w:val="00A47713"/>
    <w:rsid w:val="00A47F83"/>
    <w:rsid w:val="00A50498"/>
    <w:rsid w:val="00A506B8"/>
    <w:rsid w:val="00A50B50"/>
    <w:rsid w:val="00A51347"/>
    <w:rsid w:val="00A52C41"/>
    <w:rsid w:val="00A5347E"/>
    <w:rsid w:val="00A53511"/>
    <w:rsid w:val="00A54318"/>
    <w:rsid w:val="00A5468B"/>
    <w:rsid w:val="00A54C74"/>
    <w:rsid w:val="00A54FE7"/>
    <w:rsid w:val="00A5567B"/>
    <w:rsid w:val="00A559BD"/>
    <w:rsid w:val="00A56C71"/>
    <w:rsid w:val="00A570A8"/>
    <w:rsid w:val="00A61A1C"/>
    <w:rsid w:val="00A6239D"/>
    <w:rsid w:val="00A62595"/>
    <w:rsid w:val="00A62A62"/>
    <w:rsid w:val="00A62B07"/>
    <w:rsid w:val="00A63368"/>
    <w:rsid w:val="00A6368E"/>
    <w:rsid w:val="00A637BB"/>
    <w:rsid w:val="00A6437F"/>
    <w:rsid w:val="00A6491B"/>
    <w:rsid w:val="00A703BF"/>
    <w:rsid w:val="00A71728"/>
    <w:rsid w:val="00A71C04"/>
    <w:rsid w:val="00A724A2"/>
    <w:rsid w:val="00A7283F"/>
    <w:rsid w:val="00A7364A"/>
    <w:rsid w:val="00A73735"/>
    <w:rsid w:val="00A73B91"/>
    <w:rsid w:val="00A74674"/>
    <w:rsid w:val="00A748C4"/>
    <w:rsid w:val="00A7509B"/>
    <w:rsid w:val="00A75273"/>
    <w:rsid w:val="00A76B88"/>
    <w:rsid w:val="00A808BC"/>
    <w:rsid w:val="00A81546"/>
    <w:rsid w:val="00A81A86"/>
    <w:rsid w:val="00A823D5"/>
    <w:rsid w:val="00A82C6A"/>
    <w:rsid w:val="00A83711"/>
    <w:rsid w:val="00A8394B"/>
    <w:rsid w:val="00A83B29"/>
    <w:rsid w:val="00A83C8D"/>
    <w:rsid w:val="00A84791"/>
    <w:rsid w:val="00A8494C"/>
    <w:rsid w:val="00A86652"/>
    <w:rsid w:val="00A87CAB"/>
    <w:rsid w:val="00A901E6"/>
    <w:rsid w:val="00A90CA2"/>
    <w:rsid w:val="00A9102B"/>
    <w:rsid w:val="00A91415"/>
    <w:rsid w:val="00A9268F"/>
    <w:rsid w:val="00A93D0C"/>
    <w:rsid w:val="00A944F2"/>
    <w:rsid w:val="00A95535"/>
    <w:rsid w:val="00A959F3"/>
    <w:rsid w:val="00A95B41"/>
    <w:rsid w:val="00A95DDF"/>
    <w:rsid w:val="00A9657F"/>
    <w:rsid w:val="00A96787"/>
    <w:rsid w:val="00A9704E"/>
    <w:rsid w:val="00A97F00"/>
    <w:rsid w:val="00AA0FF3"/>
    <w:rsid w:val="00AA19EB"/>
    <w:rsid w:val="00AA1A2C"/>
    <w:rsid w:val="00AA1A95"/>
    <w:rsid w:val="00AA1D38"/>
    <w:rsid w:val="00AA2ED2"/>
    <w:rsid w:val="00AA4A8D"/>
    <w:rsid w:val="00AA5E25"/>
    <w:rsid w:val="00AA69BF"/>
    <w:rsid w:val="00AB0545"/>
    <w:rsid w:val="00AB2BA6"/>
    <w:rsid w:val="00AB2D08"/>
    <w:rsid w:val="00AB31C3"/>
    <w:rsid w:val="00AB3285"/>
    <w:rsid w:val="00AB3BAA"/>
    <w:rsid w:val="00AB4C3D"/>
    <w:rsid w:val="00AB524A"/>
    <w:rsid w:val="00AB589C"/>
    <w:rsid w:val="00AB58F9"/>
    <w:rsid w:val="00AB693D"/>
    <w:rsid w:val="00AB74FF"/>
    <w:rsid w:val="00AB7F15"/>
    <w:rsid w:val="00AC3A45"/>
    <w:rsid w:val="00AC4666"/>
    <w:rsid w:val="00AC4918"/>
    <w:rsid w:val="00AC56D1"/>
    <w:rsid w:val="00AC74B0"/>
    <w:rsid w:val="00AC7B51"/>
    <w:rsid w:val="00AC7F4F"/>
    <w:rsid w:val="00AD0217"/>
    <w:rsid w:val="00AD0798"/>
    <w:rsid w:val="00AD08B3"/>
    <w:rsid w:val="00AD09C9"/>
    <w:rsid w:val="00AD0F00"/>
    <w:rsid w:val="00AD1827"/>
    <w:rsid w:val="00AD2C4B"/>
    <w:rsid w:val="00AD47E6"/>
    <w:rsid w:val="00AD7F95"/>
    <w:rsid w:val="00AE1381"/>
    <w:rsid w:val="00AE3B40"/>
    <w:rsid w:val="00AE4AEB"/>
    <w:rsid w:val="00AE4E89"/>
    <w:rsid w:val="00AE5223"/>
    <w:rsid w:val="00AE5E82"/>
    <w:rsid w:val="00AE6F65"/>
    <w:rsid w:val="00AF00E2"/>
    <w:rsid w:val="00AF1223"/>
    <w:rsid w:val="00AF205C"/>
    <w:rsid w:val="00AF259A"/>
    <w:rsid w:val="00AF35CA"/>
    <w:rsid w:val="00AF3AD8"/>
    <w:rsid w:val="00AF3EAA"/>
    <w:rsid w:val="00AF426F"/>
    <w:rsid w:val="00AF4DB6"/>
    <w:rsid w:val="00AF5879"/>
    <w:rsid w:val="00AF58E7"/>
    <w:rsid w:val="00AF6340"/>
    <w:rsid w:val="00AF7B9E"/>
    <w:rsid w:val="00B0090B"/>
    <w:rsid w:val="00B00B52"/>
    <w:rsid w:val="00B01CDF"/>
    <w:rsid w:val="00B01D63"/>
    <w:rsid w:val="00B02081"/>
    <w:rsid w:val="00B02336"/>
    <w:rsid w:val="00B0244A"/>
    <w:rsid w:val="00B02621"/>
    <w:rsid w:val="00B03E9E"/>
    <w:rsid w:val="00B04AEC"/>
    <w:rsid w:val="00B052A5"/>
    <w:rsid w:val="00B05340"/>
    <w:rsid w:val="00B058D4"/>
    <w:rsid w:val="00B06A41"/>
    <w:rsid w:val="00B06E7D"/>
    <w:rsid w:val="00B1009D"/>
    <w:rsid w:val="00B11609"/>
    <w:rsid w:val="00B11F9D"/>
    <w:rsid w:val="00B1244C"/>
    <w:rsid w:val="00B13F71"/>
    <w:rsid w:val="00B1481B"/>
    <w:rsid w:val="00B14B33"/>
    <w:rsid w:val="00B1518B"/>
    <w:rsid w:val="00B15AEC"/>
    <w:rsid w:val="00B16145"/>
    <w:rsid w:val="00B16B61"/>
    <w:rsid w:val="00B17AF6"/>
    <w:rsid w:val="00B17D11"/>
    <w:rsid w:val="00B21271"/>
    <w:rsid w:val="00B212E9"/>
    <w:rsid w:val="00B2189D"/>
    <w:rsid w:val="00B222A7"/>
    <w:rsid w:val="00B22656"/>
    <w:rsid w:val="00B242EF"/>
    <w:rsid w:val="00B255A9"/>
    <w:rsid w:val="00B255F1"/>
    <w:rsid w:val="00B25F11"/>
    <w:rsid w:val="00B2663F"/>
    <w:rsid w:val="00B27885"/>
    <w:rsid w:val="00B30C4A"/>
    <w:rsid w:val="00B31308"/>
    <w:rsid w:val="00B31DDA"/>
    <w:rsid w:val="00B32257"/>
    <w:rsid w:val="00B32FA9"/>
    <w:rsid w:val="00B3301F"/>
    <w:rsid w:val="00B33A20"/>
    <w:rsid w:val="00B33A82"/>
    <w:rsid w:val="00B3425E"/>
    <w:rsid w:val="00B34761"/>
    <w:rsid w:val="00B3499D"/>
    <w:rsid w:val="00B34E7C"/>
    <w:rsid w:val="00B35B6C"/>
    <w:rsid w:val="00B35DBC"/>
    <w:rsid w:val="00B363B0"/>
    <w:rsid w:val="00B3747C"/>
    <w:rsid w:val="00B37A3C"/>
    <w:rsid w:val="00B402B7"/>
    <w:rsid w:val="00B403B2"/>
    <w:rsid w:val="00B40EEE"/>
    <w:rsid w:val="00B4159E"/>
    <w:rsid w:val="00B42E3A"/>
    <w:rsid w:val="00B4405E"/>
    <w:rsid w:val="00B441A2"/>
    <w:rsid w:val="00B44971"/>
    <w:rsid w:val="00B44A90"/>
    <w:rsid w:val="00B44E65"/>
    <w:rsid w:val="00B456DC"/>
    <w:rsid w:val="00B459DD"/>
    <w:rsid w:val="00B46AE2"/>
    <w:rsid w:val="00B46FD0"/>
    <w:rsid w:val="00B473AA"/>
    <w:rsid w:val="00B47F6B"/>
    <w:rsid w:val="00B50840"/>
    <w:rsid w:val="00B50FF4"/>
    <w:rsid w:val="00B51285"/>
    <w:rsid w:val="00B51605"/>
    <w:rsid w:val="00B5244E"/>
    <w:rsid w:val="00B52EE2"/>
    <w:rsid w:val="00B53C35"/>
    <w:rsid w:val="00B53D57"/>
    <w:rsid w:val="00B54890"/>
    <w:rsid w:val="00B5630E"/>
    <w:rsid w:val="00B56A39"/>
    <w:rsid w:val="00B56FB3"/>
    <w:rsid w:val="00B570D3"/>
    <w:rsid w:val="00B605BF"/>
    <w:rsid w:val="00B60EAD"/>
    <w:rsid w:val="00B6133F"/>
    <w:rsid w:val="00B62D1F"/>
    <w:rsid w:val="00B62FC0"/>
    <w:rsid w:val="00B638B0"/>
    <w:rsid w:val="00B64068"/>
    <w:rsid w:val="00B6501C"/>
    <w:rsid w:val="00B65427"/>
    <w:rsid w:val="00B6568E"/>
    <w:rsid w:val="00B6599E"/>
    <w:rsid w:val="00B65E9D"/>
    <w:rsid w:val="00B669EA"/>
    <w:rsid w:val="00B675B7"/>
    <w:rsid w:val="00B678A6"/>
    <w:rsid w:val="00B67A96"/>
    <w:rsid w:val="00B708E5"/>
    <w:rsid w:val="00B70A5B"/>
    <w:rsid w:val="00B71758"/>
    <w:rsid w:val="00B71C7D"/>
    <w:rsid w:val="00B71FA7"/>
    <w:rsid w:val="00B7204C"/>
    <w:rsid w:val="00B735F4"/>
    <w:rsid w:val="00B73D5F"/>
    <w:rsid w:val="00B74063"/>
    <w:rsid w:val="00B740A7"/>
    <w:rsid w:val="00B741E3"/>
    <w:rsid w:val="00B758FE"/>
    <w:rsid w:val="00B775E3"/>
    <w:rsid w:val="00B776A1"/>
    <w:rsid w:val="00B801EF"/>
    <w:rsid w:val="00B81BEF"/>
    <w:rsid w:val="00B81FCE"/>
    <w:rsid w:val="00B82447"/>
    <w:rsid w:val="00B838AB"/>
    <w:rsid w:val="00B8406C"/>
    <w:rsid w:val="00B8447E"/>
    <w:rsid w:val="00B84BE0"/>
    <w:rsid w:val="00B84C13"/>
    <w:rsid w:val="00B84E5A"/>
    <w:rsid w:val="00B85639"/>
    <w:rsid w:val="00B85F62"/>
    <w:rsid w:val="00B864D4"/>
    <w:rsid w:val="00B9014E"/>
    <w:rsid w:val="00B904C6"/>
    <w:rsid w:val="00B9070F"/>
    <w:rsid w:val="00B90CA9"/>
    <w:rsid w:val="00B91082"/>
    <w:rsid w:val="00B915C5"/>
    <w:rsid w:val="00B9210D"/>
    <w:rsid w:val="00B92155"/>
    <w:rsid w:val="00B93707"/>
    <w:rsid w:val="00B9432E"/>
    <w:rsid w:val="00B94AFA"/>
    <w:rsid w:val="00B94E1D"/>
    <w:rsid w:val="00B96D47"/>
    <w:rsid w:val="00B97D4C"/>
    <w:rsid w:val="00BA0CD5"/>
    <w:rsid w:val="00BA0DCA"/>
    <w:rsid w:val="00BA0E1A"/>
    <w:rsid w:val="00BA17CC"/>
    <w:rsid w:val="00BA1C91"/>
    <w:rsid w:val="00BA2715"/>
    <w:rsid w:val="00BA28CF"/>
    <w:rsid w:val="00BA3E48"/>
    <w:rsid w:val="00BA4274"/>
    <w:rsid w:val="00BA44DD"/>
    <w:rsid w:val="00BA6D44"/>
    <w:rsid w:val="00BA6EDB"/>
    <w:rsid w:val="00BA7CFA"/>
    <w:rsid w:val="00BB055E"/>
    <w:rsid w:val="00BB21E0"/>
    <w:rsid w:val="00BB2BA0"/>
    <w:rsid w:val="00BB2C05"/>
    <w:rsid w:val="00BB2ED7"/>
    <w:rsid w:val="00BB3710"/>
    <w:rsid w:val="00BB454C"/>
    <w:rsid w:val="00BB4775"/>
    <w:rsid w:val="00BB59E8"/>
    <w:rsid w:val="00BB67FB"/>
    <w:rsid w:val="00BB6D55"/>
    <w:rsid w:val="00BB6F56"/>
    <w:rsid w:val="00BB7BA9"/>
    <w:rsid w:val="00BB7C43"/>
    <w:rsid w:val="00BC0B66"/>
    <w:rsid w:val="00BC0C72"/>
    <w:rsid w:val="00BC156A"/>
    <w:rsid w:val="00BC1646"/>
    <w:rsid w:val="00BC2985"/>
    <w:rsid w:val="00BC307F"/>
    <w:rsid w:val="00BC4815"/>
    <w:rsid w:val="00BC4C17"/>
    <w:rsid w:val="00BC5C64"/>
    <w:rsid w:val="00BC60AF"/>
    <w:rsid w:val="00BC71AA"/>
    <w:rsid w:val="00BC7523"/>
    <w:rsid w:val="00BC76C3"/>
    <w:rsid w:val="00BD059B"/>
    <w:rsid w:val="00BD0EE6"/>
    <w:rsid w:val="00BD10F1"/>
    <w:rsid w:val="00BD13EB"/>
    <w:rsid w:val="00BD13EE"/>
    <w:rsid w:val="00BD25C4"/>
    <w:rsid w:val="00BD297F"/>
    <w:rsid w:val="00BD3C2A"/>
    <w:rsid w:val="00BD4062"/>
    <w:rsid w:val="00BD4205"/>
    <w:rsid w:val="00BD43ED"/>
    <w:rsid w:val="00BD43FC"/>
    <w:rsid w:val="00BD47A9"/>
    <w:rsid w:val="00BD5B6B"/>
    <w:rsid w:val="00BD5E25"/>
    <w:rsid w:val="00BD6154"/>
    <w:rsid w:val="00BD7471"/>
    <w:rsid w:val="00BD7D9D"/>
    <w:rsid w:val="00BE017A"/>
    <w:rsid w:val="00BE3536"/>
    <w:rsid w:val="00BE38FD"/>
    <w:rsid w:val="00BE5410"/>
    <w:rsid w:val="00BE57CD"/>
    <w:rsid w:val="00BE5CC4"/>
    <w:rsid w:val="00BE618E"/>
    <w:rsid w:val="00BE7850"/>
    <w:rsid w:val="00BF0572"/>
    <w:rsid w:val="00BF2EFE"/>
    <w:rsid w:val="00BF32C4"/>
    <w:rsid w:val="00BF3C4C"/>
    <w:rsid w:val="00BF3E3F"/>
    <w:rsid w:val="00BF3E9C"/>
    <w:rsid w:val="00BF3FA3"/>
    <w:rsid w:val="00BF4373"/>
    <w:rsid w:val="00BF5FB9"/>
    <w:rsid w:val="00BF7645"/>
    <w:rsid w:val="00BF7724"/>
    <w:rsid w:val="00C00BB3"/>
    <w:rsid w:val="00C03520"/>
    <w:rsid w:val="00C03775"/>
    <w:rsid w:val="00C0484C"/>
    <w:rsid w:val="00C050D2"/>
    <w:rsid w:val="00C0522F"/>
    <w:rsid w:val="00C07355"/>
    <w:rsid w:val="00C075B4"/>
    <w:rsid w:val="00C07F39"/>
    <w:rsid w:val="00C10697"/>
    <w:rsid w:val="00C1141B"/>
    <w:rsid w:val="00C11634"/>
    <w:rsid w:val="00C1379F"/>
    <w:rsid w:val="00C14571"/>
    <w:rsid w:val="00C14CE2"/>
    <w:rsid w:val="00C14F96"/>
    <w:rsid w:val="00C15B6C"/>
    <w:rsid w:val="00C16361"/>
    <w:rsid w:val="00C20949"/>
    <w:rsid w:val="00C20DA4"/>
    <w:rsid w:val="00C21321"/>
    <w:rsid w:val="00C2182A"/>
    <w:rsid w:val="00C2265C"/>
    <w:rsid w:val="00C23351"/>
    <w:rsid w:val="00C2338C"/>
    <w:rsid w:val="00C23DBE"/>
    <w:rsid w:val="00C24C3E"/>
    <w:rsid w:val="00C24D6A"/>
    <w:rsid w:val="00C25959"/>
    <w:rsid w:val="00C262FC"/>
    <w:rsid w:val="00C26E4C"/>
    <w:rsid w:val="00C275FA"/>
    <w:rsid w:val="00C276FB"/>
    <w:rsid w:val="00C316FF"/>
    <w:rsid w:val="00C32267"/>
    <w:rsid w:val="00C336CC"/>
    <w:rsid w:val="00C34116"/>
    <w:rsid w:val="00C34B60"/>
    <w:rsid w:val="00C34BBE"/>
    <w:rsid w:val="00C3545D"/>
    <w:rsid w:val="00C35FE9"/>
    <w:rsid w:val="00C36607"/>
    <w:rsid w:val="00C40340"/>
    <w:rsid w:val="00C407AB"/>
    <w:rsid w:val="00C409A0"/>
    <w:rsid w:val="00C41026"/>
    <w:rsid w:val="00C418CD"/>
    <w:rsid w:val="00C41D23"/>
    <w:rsid w:val="00C425F8"/>
    <w:rsid w:val="00C42BFC"/>
    <w:rsid w:val="00C42DCC"/>
    <w:rsid w:val="00C43217"/>
    <w:rsid w:val="00C442C2"/>
    <w:rsid w:val="00C44346"/>
    <w:rsid w:val="00C4581C"/>
    <w:rsid w:val="00C45F75"/>
    <w:rsid w:val="00C460F8"/>
    <w:rsid w:val="00C46272"/>
    <w:rsid w:val="00C464C9"/>
    <w:rsid w:val="00C500EE"/>
    <w:rsid w:val="00C501D6"/>
    <w:rsid w:val="00C5076F"/>
    <w:rsid w:val="00C50F8D"/>
    <w:rsid w:val="00C518AF"/>
    <w:rsid w:val="00C523A7"/>
    <w:rsid w:val="00C52909"/>
    <w:rsid w:val="00C531CD"/>
    <w:rsid w:val="00C55FB9"/>
    <w:rsid w:val="00C56449"/>
    <w:rsid w:val="00C571C7"/>
    <w:rsid w:val="00C5731C"/>
    <w:rsid w:val="00C57426"/>
    <w:rsid w:val="00C60A31"/>
    <w:rsid w:val="00C6125C"/>
    <w:rsid w:val="00C6142C"/>
    <w:rsid w:val="00C62458"/>
    <w:rsid w:val="00C62B0F"/>
    <w:rsid w:val="00C62D85"/>
    <w:rsid w:val="00C62E99"/>
    <w:rsid w:val="00C6339E"/>
    <w:rsid w:val="00C634B8"/>
    <w:rsid w:val="00C635B4"/>
    <w:rsid w:val="00C63675"/>
    <w:rsid w:val="00C64363"/>
    <w:rsid w:val="00C6447F"/>
    <w:rsid w:val="00C65277"/>
    <w:rsid w:val="00C652D4"/>
    <w:rsid w:val="00C65444"/>
    <w:rsid w:val="00C65A17"/>
    <w:rsid w:val="00C66991"/>
    <w:rsid w:val="00C66A88"/>
    <w:rsid w:val="00C67F60"/>
    <w:rsid w:val="00C70A3B"/>
    <w:rsid w:val="00C70CB9"/>
    <w:rsid w:val="00C71365"/>
    <w:rsid w:val="00C72174"/>
    <w:rsid w:val="00C72704"/>
    <w:rsid w:val="00C72E2A"/>
    <w:rsid w:val="00C739C0"/>
    <w:rsid w:val="00C73B10"/>
    <w:rsid w:val="00C7499C"/>
    <w:rsid w:val="00C74A47"/>
    <w:rsid w:val="00C75603"/>
    <w:rsid w:val="00C76175"/>
    <w:rsid w:val="00C762C1"/>
    <w:rsid w:val="00C76AB8"/>
    <w:rsid w:val="00C76E5D"/>
    <w:rsid w:val="00C776B2"/>
    <w:rsid w:val="00C779E8"/>
    <w:rsid w:val="00C77B26"/>
    <w:rsid w:val="00C8122A"/>
    <w:rsid w:val="00C81804"/>
    <w:rsid w:val="00C81930"/>
    <w:rsid w:val="00C819B9"/>
    <w:rsid w:val="00C81EEB"/>
    <w:rsid w:val="00C83156"/>
    <w:rsid w:val="00C848B7"/>
    <w:rsid w:val="00C84BFE"/>
    <w:rsid w:val="00C84D10"/>
    <w:rsid w:val="00C853D9"/>
    <w:rsid w:val="00C8616F"/>
    <w:rsid w:val="00C86449"/>
    <w:rsid w:val="00C87B61"/>
    <w:rsid w:val="00C87F05"/>
    <w:rsid w:val="00C90F75"/>
    <w:rsid w:val="00C91895"/>
    <w:rsid w:val="00C9199B"/>
    <w:rsid w:val="00C91C1D"/>
    <w:rsid w:val="00C92117"/>
    <w:rsid w:val="00C924F5"/>
    <w:rsid w:val="00C92E84"/>
    <w:rsid w:val="00C932B8"/>
    <w:rsid w:val="00C93F49"/>
    <w:rsid w:val="00C94461"/>
    <w:rsid w:val="00C95173"/>
    <w:rsid w:val="00C95280"/>
    <w:rsid w:val="00C9590F"/>
    <w:rsid w:val="00C96A63"/>
    <w:rsid w:val="00C96FE6"/>
    <w:rsid w:val="00C973DD"/>
    <w:rsid w:val="00C97964"/>
    <w:rsid w:val="00C97DD8"/>
    <w:rsid w:val="00CA10F4"/>
    <w:rsid w:val="00CA117A"/>
    <w:rsid w:val="00CA1451"/>
    <w:rsid w:val="00CA1857"/>
    <w:rsid w:val="00CA2D94"/>
    <w:rsid w:val="00CA3267"/>
    <w:rsid w:val="00CA3792"/>
    <w:rsid w:val="00CA4596"/>
    <w:rsid w:val="00CA50C4"/>
    <w:rsid w:val="00CA71DD"/>
    <w:rsid w:val="00CA76CA"/>
    <w:rsid w:val="00CA7775"/>
    <w:rsid w:val="00CA7E12"/>
    <w:rsid w:val="00CB0394"/>
    <w:rsid w:val="00CB0AF8"/>
    <w:rsid w:val="00CB197B"/>
    <w:rsid w:val="00CB1C58"/>
    <w:rsid w:val="00CB2100"/>
    <w:rsid w:val="00CB2370"/>
    <w:rsid w:val="00CB2A83"/>
    <w:rsid w:val="00CB383F"/>
    <w:rsid w:val="00CB4985"/>
    <w:rsid w:val="00CB4A37"/>
    <w:rsid w:val="00CB5121"/>
    <w:rsid w:val="00CB6EF8"/>
    <w:rsid w:val="00CC010A"/>
    <w:rsid w:val="00CC1B6A"/>
    <w:rsid w:val="00CC2E26"/>
    <w:rsid w:val="00CC3532"/>
    <w:rsid w:val="00CC36D8"/>
    <w:rsid w:val="00CC3C30"/>
    <w:rsid w:val="00CC3D23"/>
    <w:rsid w:val="00CC4F05"/>
    <w:rsid w:val="00CC60A4"/>
    <w:rsid w:val="00CC623E"/>
    <w:rsid w:val="00CC6A5E"/>
    <w:rsid w:val="00CC6B74"/>
    <w:rsid w:val="00CC6E77"/>
    <w:rsid w:val="00CC7426"/>
    <w:rsid w:val="00CD0807"/>
    <w:rsid w:val="00CD1094"/>
    <w:rsid w:val="00CD1CA1"/>
    <w:rsid w:val="00CD1E13"/>
    <w:rsid w:val="00CD1EDB"/>
    <w:rsid w:val="00CD22C6"/>
    <w:rsid w:val="00CD2ADC"/>
    <w:rsid w:val="00CD31CA"/>
    <w:rsid w:val="00CD5896"/>
    <w:rsid w:val="00CD5B1D"/>
    <w:rsid w:val="00CD625C"/>
    <w:rsid w:val="00CD71DC"/>
    <w:rsid w:val="00CE01D0"/>
    <w:rsid w:val="00CE08D2"/>
    <w:rsid w:val="00CE10A3"/>
    <w:rsid w:val="00CE1279"/>
    <w:rsid w:val="00CE154F"/>
    <w:rsid w:val="00CE1C5B"/>
    <w:rsid w:val="00CE42E2"/>
    <w:rsid w:val="00CE4C6A"/>
    <w:rsid w:val="00CE5F9F"/>
    <w:rsid w:val="00CE6880"/>
    <w:rsid w:val="00CE6A1F"/>
    <w:rsid w:val="00CE6D4B"/>
    <w:rsid w:val="00CE795F"/>
    <w:rsid w:val="00CE79F0"/>
    <w:rsid w:val="00CE7FE9"/>
    <w:rsid w:val="00CF00A7"/>
    <w:rsid w:val="00CF39B9"/>
    <w:rsid w:val="00CF458B"/>
    <w:rsid w:val="00CF4643"/>
    <w:rsid w:val="00CF5CBA"/>
    <w:rsid w:val="00CF63F3"/>
    <w:rsid w:val="00CF6A77"/>
    <w:rsid w:val="00CF7528"/>
    <w:rsid w:val="00CF768F"/>
    <w:rsid w:val="00D00AD7"/>
    <w:rsid w:val="00D00DC9"/>
    <w:rsid w:val="00D015D5"/>
    <w:rsid w:val="00D01F2F"/>
    <w:rsid w:val="00D0230D"/>
    <w:rsid w:val="00D02488"/>
    <w:rsid w:val="00D027EA"/>
    <w:rsid w:val="00D03729"/>
    <w:rsid w:val="00D04037"/>
    <w:rsid w:val="00D055C4"/>
    <w:rsid w:val="00D05930"/>
    <w:rsid w:val="00D05AE4"/>
    <w:rsid w:val="00D06635"/>
    <w:rsid w:val="00D06748"/>
    <w:rsid w:val="00D100A7"/>
    <w:rsid w:val="00D10209"/>
    <w:rsid w:val="00D108FC"/>
    <w:rsid w:val="00D1096D"/>
    <w:rsid w:val="00D10CAA"/>
    <w:rsid w:val="00D12D6A"/>
    <w:rsid w:val="00D1376E"/>
    <w:rsid w:val="00D13B29"/>
    <w:rsid w:val="00D142ED"/>
    <w:rsid w:val="00D146B0"/>
    <w:rsid w:val="00D1481F"/>
    <w:rsid w:val="00D150E5"/>
    <w:rsid w:val="00D16769"/>
    <w:rsid w:val="00D16AB3"/>
    <w:rsid w:val="00D17187"/>
    <w:rsid w:val="00D17917"/>
    <w:rsid w:val="00D200F2"/>
    <w:rsid w:val="00D207BC"/>
    <w:rsid w:val="00D208A9"/>
    <w:rsid w:val="00D209B6"/>
    <w:rsid w:val="00D21454"/>
    <w:rsid w:val="00D22CCC"/>
    <w:rsid w:val="00D2329B"/>
    <w:rsid w:val="00D23D6E"/>
    <w:rsid w:val="00D244C6"/>
    <w:rsid w:val="00D24E12"/>
    <w:rsid w:val="00D25331"/>
    <w:rsid w:val="00D25346"/>
    <w:rsid w:val="00D253BC"/>
    <w:rsid w:val="00D2581B"/>
    <w:rsid w:val="00D26C28"/>
    <w:rsid w:val="00D26C54"/>
    <w:rsid w:val="00D27474"/>
    <w:rsid w:val="00D278FA"/>
    <w:rsid w:val="00D300F5"/>
    <w:rsid w:val="00D3189E"/>
    <w:rsid w:val="00D31D6F"/>
    <w:rsid w:val="00D31EC7"/>
    <w:rsid w:val="00D338AF"/>
    <w:rsid w:val="00D33DC7"/>
    <w:rsid w:val="00D34000"/>
    <w:rsid w:val="00D34642"/>
    <w:rsid w:val="00D36356"/>
    <w:rsid w:val="00D4002B"/>
    <w:rsid w:val="00D4031C"/>
    <w:rsid w:val="00D41B4C"/>
    <w:rsid w:val="00D4206A"/>
    <w:rsid w:val="00D420DD"/>
    <w:rsid w:val="00D42E16"/>
    <w:rsid w:val="00D42F1D"/>
    <w:rsid w:val="00D432A6"/>
    <w:rsid w:val="00D4436F"/>
    <w:rsid w:val="00D44A87"/>
    <w:rsid w:val="00D451F7"/>
    <w:rsid w:val="00D452F6"/>
    <w:rsid w:val="00D46589"/>
    <w:rsid w:val="00D5044C"/>
    <w:rsid w:val="00D5066D"/>
    <w:rsid w:val="00D51166"/>
    <w:rsid w:val="00D51BCE"/>
    <w:rsid w:val="00D52175"/>
    <w:rsid w:val="00D528A8"/>
    <w:rsid w:val="00D52A84"/>
    <w:rsid w:val="00D52C08"/>
    <w:rsid w:val="00D52E1C"/>
    <w:rsid w:val="00D534CF"/>
    <w:rsid w:val="00D53D71"/>
    <w:rsid w:val="00D53DD4"/>
    <w:rsid w:val="00D54806"/>
    <w:rsid w:val="00D557B4"/>
    <w:rsid w:val="00D55DE4"/>
    <w:rsid w:val="00D56142"/>
    <w:rsid w:val="00D56BD3"/>
    <w:rsid w:val="00D60BB7"/>
    <w:rsid w:val="00D6248F"/>
    <w:rsid w:val="00D62856"/>
    <w:rsid w:val="00D63E1F"/>
    <w:rsid w:val="00D64AA3"/>
    <w:rsid w:val="00D64BE6"/>
    <w:rsid w:val="00D64C82"/>
    <w:rsid w:val="00D64CFF"/>
    <w:rsid w:val="00D65F50"/>
    <w:rsid w:val="00D66AEE"/>
    <w:rsid w:val="00D66C82"/>
    <w:rsid w:val="00D67111"/>
    <w:rsid w:val="00D6716C"/>
    <w:rsid w:val="00D67A79"/>
    <w:rsid w:val="00D7000F"/>
    <w:rsid w:val="00D70458"/>
    <w:rsid w:val="00D71436"/>
    <w:rsid w:val="00D718DF"/>
    <w:rsid w:val="00D7199C"/>
    <w:rsid w:val="00D719F5"/>
    <w:rsid w:val="00D71C73"/>
    <w:rsid w:val="00D73149"/>
    <w:rsid w:val="00D73FF1"/>
    <w:rsid w:val="00D74FE9"/>
    <w:rsid w:val="00D75D23"/>
    <w:rsid w:val="00D765A6"/>
    <w:rsid w:val="00D76E5E"/>
    <w:rsid w:val="00D7743D"/>
    <w:rsid w:val="00D777E6"/>
    <w:rsid w:val="00D77B82"/>
    <w:rsid w:val="00D801A0"/>
    <w:rsid w:val="00D8036F"/>
    <w:rsid w:val="00D80A34"/>
    <w:rsid w:val="00D80ADC"/>
    <w:rsid w:val="00D80D08"/>
    <w:rsid w:val="00D80F4A"/>
    <w:rsid w:val="00D80F5A"/>
    <w:rsid w:val="00D8241C"/>
    <w:rsid w:val="00D8252B"/>
    <w:rsid w:val="00D8317A"/>
    <w:rsid w:val="00D83E96"/>
    <w:rsid w:val="00D868FE"/>
    <w:rsid w:val="00D86E17"/>
    <w:rsid w:val="00D87815"/>
    <w:rsid w:val="00D87A38"/>
    <w:rsid w:val="00D8BB98"/>
    <w:rsid w:val="00D90516"/>
    <w:rsid w:val="00D90EBE"/>
    <w:rsid w:val="00D90F8E"/>
    <w:rsid w:val="00D92117"/>
    <w:rsid w:val="00D92739"/>
    <w:rsid w:val="00D93FD8"/>
    <w:rsid w:val="00D94460"/>
    <w:rsid w:val="00D955E1"/>
    <w:rsid w:val="00D9591F"/>
    <w:rsid w:val="00D95D9A"/>
    <w:rsid w:val="00D961B7"/>
    <w:rsid w:val="00D96692"/>
    <w:rsid w:val="00D96E0B"/>
    <w:rsid w:val="00D975F6"/>
    <w:rsid w:val="00D97A21"/>
    <w:rsid w:val="00D97D17"/>
    <w:rsid w:val="00DA093E"/>
    <w:rsid w:val="00DA0B34"/>
    <w:rsid w:val="00DA1699"/>
    <w:rsid w:val="00DA21B8"/>
    <w:rsid w:val="00DA2D91"/>
    <w:rsid w:val="00DA2EA1"/>
    <w:rsid w:val="00DA2F27"/>
    <w:rsid w:val="00DA35D6"/>
    <w:rsid w:val="00DA4377"/>
    <w:rsid w:val="00DA4A8D"/>
    <w:rsid w:val="00DA5927"/>
    <w:rsid w:val="00DA5B4A"/>
    <w:rsid w:val="00DA6324"/>
    <w:rsid w:val="00DA6F70"/>
    <w:rsid w:val="00DA73E4"/>
    <w:rsid w:val="00DB0297"/>
    <w:rsid w:val="00DB045D"/>
    <w:rsid w:val="00DB05AA"/>
    <w:rsid w:val="00DB084F"/>
    <w:rsid w:val="00DB151C"/>
    <w:rsid w:val="00DB162E"/>
    <w:rsid w:val="00DB2D44"/>
    <w:rsid w:val="00DB326A"/>
    <w:rsid w:val="00DB341B"/>
    <w:rsid w:val="00DB36C0"/>
    <w:rsid w:val="00DB37E3"/>
    <w:rsid w:val="00DB3CF8"/>
    <w:rsid w:val="00DB40D6"/>
    <w:rsid w:val="00DB412C"/>
    <w:rsid w:val="00DB4229"/>
    <w:rsid w:val="00DB45DB"/>
    <w:rsid w:val="00DB463C"/>
    <w:rsid w:val="00DB48AB"/>
    <w:rsid w:val="00DB4A1C"/>
    <w:rsid w:val="00DB5675"/>
    <w:rsid w:val="00DB5CD1"/>
    <w:rsid w:val="00DB5F58"/>
    <w:rsid w:val="00DB6539"/>
    <w:rsid w:val="00DB6875"/>
    <w:rsid w:val="00DB6E17"/>
    <w:rsid w:val="00DB70BF"/>
    <w:rsid w:val="00DB78F1"/>
    <w:rsid w:val="00DC0735"/>
    <w:rsid w:val="00DC07EA"/>
    <w:rsid w:val="00DC1A45"/>
    <w:rsid w:val="00DC2550"/>
    <w:rsid w:val="00DC3062"/>
    <w:rsid w:val="00DC4037"/>
    <w:rsid w:val="00DC40AB"/>
    <w:rsid w:val="00DC4418"/>
    <w:rsid w:val="00DC57FE"/>
    <w:rsid w:val="00DC7F59"/>
    <w:rsid w:val="00DC7FF5"/>
    <w:rsid w:val="00DD037B"/>
    <w:rsid w:val="00DD15C3"/>
    <w:rsid w:val="00DD1BAE"/>
    <w:rsid w:val="00DD46BA"/>
    <w:rsid w:val="00DD4E0B"/>
    <w:rsid w:val="00DD514F"/>
    <w:rsid w:val="00DD6932"/>
    <w:rsid w:val="00DD6BEC"/>
    <w:rsid w:val="00DE1311"/>
    <w:rsid w:val="00DE3A18"/>
    <w:rsid w:val="00DE453E"/>
    <w:rsid w:val="00DE45E0"/>
    <w:rsid w:val="00DE48C4"/>
    <w:rsid w:val="00DE4CB2"/>
    <w:rsid w:val="00DE534C"/>
    <w:rsid w:val="00DE59EB"/>
    <w:rsid w:val="00DE60E5"/>
    <w:rsid w:val="00DE62B4"/>
    <w:rsid w:val="00DE651D"/>
    <w:rsid w:val="00DE7AAE"/>
    <w:rsid w:val="00DF1799"/>
    <w:rsid w:val="00DF1FBC"/>
    <w:rsid w:val="00DF209F"/>
    <w:rsid w:val="00DF2750"/>
    <w:rsid w:val="00DF3925"/>
    <w:rsid w:val="00DF3E2B"/>
    <w:rsid w:val="00DF4D28"/>
    <w:rsid w:val="00DF55B4"/>
    <w:rsid w:val="00DF5869"/>
    <w:rsid w:val="00DF6C12"/>
    <w:rsid w:val="00DF6E96"/>
    <w:rsid w:val="00DF76B6"/>
    <w:rsid w:val="00E00367"/>
    <w:rsid w:val="00E005A5"/>
    <w:rsid w:val="00E0106B"/>
    <w:rsid w:val="00E01CE3"/>
    <w:rsid w:val="00E02B61"/>
    <w:rsid w:val="00E033F3"/>
    <w:rsid w:val="00E03729"/>
    <w:rsid w:val="00E040BF"/>
    <w:rsid w:val="00E0480D"/>
    <w:rsid w:val="00E05DA1"/>
    <w:rsid w:val="00E0671F"/>
    <w:rsid w:val="00E06E9A"/>
    <w:rsid w:val="00E06FB2"/>
    <w:rsid w:val="00E07D3F"/>
    <w:rsid w:val="00E111E6"/>
    <w:rsid w:val="00E116F5"/>
    <w:rsid w:val="00E11C4E"/>
    <w:rsid w:val="00E11D07"/>
    <w:rsid w:val="00E11D8B"/>
    <w:rsid w:val="00E12113"/>
    <w:rsid w:val="00E1232D"/>
    <w:rsid w:val="00E13F20"/>
    <w:rsid w:val="00E140F3"/>
    <w:rsid w:val="00E14575"/>
    <w:rsid w:val="00E15CF9"/>
    <w:rsid w:val="00E16B95"/>
    <w:rsid w:val="00E17188"/>
    <w:rsid w:val="00E172B0"/>
    <w:rsid w:val="00E17674"/>
    <w:rsid w:val="00E177F4"/>
    <w:rsid w:val="00E20191"/>
    <w:rsid w:val="00E204FB"/>
    <w:rsid w:val="00E20543"/>
    <w:rsid w:val="00E22435"/>
    <w:rsid w:val="00E22830"/>
    <w:rsid w:val="00E23E02"/>
    <w:rsid w:val="00E25378"/>
    <w:rsid w:val="00E25517"/>
    <w:rsid w:val="00E259AC"/>
    <w:rsid w:val="00E2634A"/>
    <w:rsid w:val="00E27D31"/>
    <w:rsid w:val="00E30792"/>
    <w:rsid w:val="00E30EB9"/>
    <w:rsid w:val="00E318D1"/>
    <w:rsid w:val="00E318D9"/>
    <w:rsid w:val="00E32141"/>
    <w:rsid w:val="00E32DFC"/>
    <w:rsid w:val="00E33AC9"/>
    <w:rsid w:val="00E33E4D"/>
    <w:rsid w:val="00E341C7"/>
    <w:rsid w:val="00E341DC"/>
    <w:rsid w:val="00E343C8"/>
    <w:rsid w:val="00E344EC"/>
    <w:rsid w:val="00E34A46"/>
    <w:rsid w:val="00E3522D"/>
    <w:rsid w:val="00E35E79"/>
    <w:rsid w:val="00E37AB5"/>
    <w:rsid w:val="00E37E1B"/>
    <w:rsid w:val="00E40525"/>
    <w:rsid w:val="00E40BBA"/>
    <w:rsid w:val="00E4215D"/>
    <w:rsid w:val="00E42AFD"/>
    <w:rsid w:val="00E42B1C"/>
    <w:rsid w:val="00E44E1E"/>
    <w:rsid w:val="00E455E6"/>
    <w:rsid w:val="00E46382"/>
    <w:rsid w:val="00E46531"/>
    <w:rsid w:val="00E46919"/>
    <w:rsid w:val="00E46D8B"/>
    <w:rsid w:val="00E46EFE"/>
    <w:rsid w:val="00E508E2"/>
    <w:rsid w:val="00E516EA"/>
    <w:rsid w:val="00E51A05"/>
    <w:rsid w:val="00E52042"/>
    <w:rsid w:val="00E5241C"/>
    <w:rsid w:val="00E52687"/>
    <w:rsid w:val="00E54977"/>
    <w:rsid w:val="00E54D7C"/>
    <w:rsid w:val="00E55C4A"/>
    <w:rsid w:val="00E55FD9"/>
    <w:rsid w:val="00E5622F"/>
    <w:rsid w:val="00E56560"/>
    <w:rsid w:val="00E578C8"/>
    <w:rsid w:val="00E57E16"/>
    <w:rsid w:val="00E618AC"/>
    <w:rsid w:val="00E61FEA"/>
    <w:rsid w:val="00E6240C"/>
    <w:rsid w:val="00E6298F"/>
    <w:rsid w:val="00E6302B"/>
    <w:rsid w:val="00E6303C"/>
    <w:rsid w:val="00E6357A"/>
    <w:rsid w:val="00E64171"/>
    <w:rsid w:val="00E64400"/>
    <w:rsid w:val="00E64A27"/>
    <w:rsid w:val="00E64B46"/>
    <w:rsid w:val="00E6516E"/>
    <w:rsid w:val="00E65753"/>
    <w:rsid w:val="00E65D5F"/>
    <w:rsid w:val="00E66BAD"/>
    <w:rsid w:val="00E67393"/>
    <w:rsid w:val="00E67D45"/>
    <w:rsid w:val="00E706EC"/>
    <w:rsid w:val="00E708D8"/>
    <w:rsid w:val="00E71614"/>
    <w:rsid w:val="00E7261D"/>
    <w:rsid w:val="00E7281A"/>
    <w:rsid w:val="00E73B94"/>
    <w:rsid w:val="00E74CD3"/>
    <w:rsid w:val="00E74E4A"/>
    <w:rsid w:val="00E74E79"/>
    <w:rsid w:val="00E74FD1"/>
    <w:rsid w:val="00E75066"/>
    <w:rsid w:val="00E7544C"/>
    <w:rsid w:val="00E75463"/>
    <w:rsid w:val="00E75CF7"/>
    <w:rsid w:val="00E76456"/>
    <w:rsid w:val="00E806D6"/>
    <w:rsid w:val="00E80827"/>
    <w:rsid w:val="00E80BB0"/>
    <w:rsid w:val="00E81BC4"/>
    <w:rsid w:val="00E82D5F"/>
    <w:rsid w:val="00E84420"/>
    <w:rsid w:val="00E864EE"/>
    <w:rsid w:val="00E875D2"/>
    <w:rsid w:val="00E879A6"/>
    <w:rsid w:val="00E9218D"/>
    <w:rsid w:val="00E92248"/>
    <w:rsid w:val="00E929C7"/>
    <w:rsid w:val="00E957F8"/>
    <w:rsid w:val="00E960B2"/>
    <w:rsid w:val="00E973AE"/>
    <w:rsid w:val="00E979CB"/>
    <w:rsid w:val="00EA2968"/>
    <w:rsid w:val="00EA29D7"/>
    <w:rsid w:val="00EA2BF6"/>
    <w:rsid w:val="00EA3508"/>
    <w:rsid w:val="00EA3D29"/>
    <w:rsid w:val="00EA3FA3"/>
    <w:rsid w:val="00EA4533"/>
    <w:rsid w:val="00EA45F8"/>
    <w:rsid w:val="00EA466B"/>
    <w:rsid w:val="00EA4D61"/>
    <w:rsid w:val="00EA5AB7"/>
    <w:rsid w:val="00EA6E09"/>
    <w:rsid w:val="00EA72BD"/>
    <w:rsid w:val="00EA7E38"/>
    <w:rsid w:val="00EB0473"/>
    <w:rsid w:val="00EB0656"/>
    <w:rsid w:val="00EB0A2F"/>
    <w:rsid w:val="00EB17BB"/>
    <w:rsid w:val="00EB1C60"/>
    <w:rsid w:val="00EB1EAC"/>
    <w:rsid w:val="00EB1F5A"/>
    <w:rsid w:val="00EB2AA1"/>
    <w:rsid w:val="00EB2CA0"/>
    <w:rsid w:val="00EB39C9"/>
    <w:rsid w:val="00EB4830"/>
    <w:rsid w:val="00EB4FAB"/>
    <w:rsid w:val="00EB5E54"/>
    <w:rsid w:val="00EB5F71"/>
    <w:rsid w:val="00EB63AA"/>
    <w:rsid w:val="00EB6943"/>
    <w:rsid w:val="00EB69BD"/>
    <w:rsid w:val="00EB6BF5"/>
    <w:rsid w:val="00EB6EE8"/>
    <w:rsid w:val="00EB70CE"/>
    <w:rsid w:val="00EB7A4B"/>
    <w:rsid w:val="00EB7EB6"/>
    <w:rsid w:val="00EC0058"/>
    <w:rsid w:val="00EC026E"/>
    <w:rsid w:val="00EC03DD"/>
    <w:rsid w:val="00EC185A"/>
    <w:rsid w:val="00EC223B"/>
    <w:rsid w:val="00EC3ED9"/>
    <w:rsid w:val="00EC50DD"/>
    <w:rsid w:val="00EC5392"/>
    <w:rsid w:val="00EC63CC"/>
    <w:rsid w:val="00EC6462"/>
    <w:rsid w:val="00EC6BBB"/>
    <w:rsid w:val="00EC76A4"/>
    <w:rsid w:val="00EC77E6"/>
    <w:rsid w:val="00EC7A3D"/>
    <w:rsid w:val="00ED0F06"/>
    <w:rsid w:val="00ED1AA8"/>
    <w:rsid w:val="00ED2788"/>
    <w:rsid w:val="00ED2B08"/>
    <w:rsid w:val="00ED35A6"/>
    <w:rsid w:val="00ED402A"/>
    <w:rsid w:val="00ED4E90"/>
    <w:rsid w:val="00ED4F0A"/>
    <w:rsid w:val="00ED53FC"/>
    <w:rsid w:val="00ED54C2"/>
    <w:rsid w:val="00ED5EDB"/>
    <w:rsid w:val="00ED6113"/>
    <w:rsid w:val="00ED6F74"/>
    <w:rsid w:val="00ED71F2"/>
    <w:rsid w:val="00ED79FB"/>
    <w:rsid w:val="00ED7C4F"/>
    <w:rsid w:val="00EE0767"/>
    <w:rsid w:val="00EE1E9D"/>
    <w:rsid w:val="00EE2E8E"/>
    <w:rsid w:val="00EE2EFB"/>
    <w:rsid w:val="00EE4176"/>
    <w:rsid w:val="00EE48F4"/>
    <w:rsid w:val="00EE4EE9"/>
    <w:rsid w:val="00EE50B5"/>
    <w:rsid w:val="00EE5218"/>
    <w:rsid w:val="00EE5BC0"/>
    <w:rsid w:val="00EE5D88"/>
    <w:rsid w:val="00EE6D21"/>
    <w:rsid w:val="00EE72E4"/>
    <w:rsid w:val="00EE7891"/>
    <w:rsid w:val="00EE7E62"/>
    <w:rsid w:val="00EF037E"/>
    <w:rsid w:val="00EF095C"/>
    <w:rsid w:val="00EF151B"/>
    <w:rsid w:val="00EF180D"/>
    <w:rsid w:val="00EF1900"/>
    <w:rsid w:val="00EF1C09"/>
    <w:rsid w:val="00EF2B17"/>
    <w:rsid w:val="00EF2E9B"/>
    <w:rsid w:val="00EF3625"/>
    <w:rsid w:val="00EF5057"/>
    <w:rsid w:val="00EF5683"/>
    <w:rsid w:val="00EF5C54"/>
    <w:rsid w:val="00EF6134"/>
    <w:rsid w:val="00EF6219"/>
    <w:rsid w:val="00EF6FAD"/>
    <w:rsid w:val="00EF783B"/>
    <w:rsid w:val="00F00BC8"/>
    <w:rsid w:val="00F0124C"/>
    <w:rsid w:val="00F01A4A"/>
    <w:rsid w:val="00F02518"/>
    <w:rsid w:val="00F02704"/>
    <w:rsid w:val="00F03F74"/>
    <w:rsid w:val="00F04211"/>
    <w:rsid w:val="00F052B0"/>
    <w:rsid w:val="00F05729"/>
    <w:rsid w:val="00F063DE"/>
    <w:rsid w:val="00F07278"/>
    <w:rsid w:val="00F07C16"/>
    <w:rsid w:val="00F07D11"/>
    <w:rsid w:val="00F11226"/>
    <w:rsid w:val="00F11433"/>
    <w:rsid w:val="00F13A72"/>
    <w:rsid w:val="00F15E78"/>
    <w:rsid w:val="00F162E0"/>
    <w:rsid w:val="00F16864"/>
    <w:rsid w:val="00F16A39"/>
    <w:rsid w:val="00F175C4"/>
    <w:rsid w:val="00F20A1A"/>
    <w:rsid w:val="00F213C0"/>
    <w:rsid w:val="00F21C6E"/>
    <w:rsid w:val="00F246B2"/>
    <w:rsid w:val="00F24A79"/>
    <w:rsid w:val="00F24D87"/>
    <w:rsid w:val="00F2612C"/>
    <w:rsid w:val="00F2666C"/>
    <w:rsid w:val="00F26F7A"/>
    <w:rsid w:val="00F272CF"/>
    <w:rsid w:val="00F2735A"/>
    <w:rsid w:val="00F27A2D"/>
    <w:rsid w:val="00F27D94"/>
    <w:rsid w:val="00F31F5A"/>
    <w:rsid w:val="00F325DF"/>
    <w:rsid w:val="00F3265D"/>
    <w:rsid w:val="00F32A68"/>
    <w:rsid w:val="00F32D0F"/>
    <w:rsid w:val="00F32E3A"/>
    <w:rsid w:val="00F32E96"/>
    <w:rsid w:val="00F335F9"/>
    <w:rsid w:val="00F35714"/>
    <w:rsid w:val="00F360C6"/>
    <w:rsid w:val="00F3619F"/>
    <w:rsid w:val="00F3623A"/>
    <w:rsid w:val="00F36DBC"/>
    <w:rsid w:val="00F37107"/>
    <w:rsid w:val="00F37727"/>
    <w:rsid w:val="00F378D3"/>
    <w:rsid w:val="00F37C1D"/>
    <w:rsid w:val="00F37DF6"/>
    <w:rsid w:val="00F37E14"/>
    <w:rsid w:val="00F40002"/>
    <w:rsid w:val="00F4170A"/>
    <w:rsid w:val="00F4193A"/>
    <w:rsid w:val="00F419D3"/>
    <w:rsid w:val="00F421DD"/>
    <w:rsid w:val="00F42D17"/>
    <w:rsid w:val="00F43062"/>
    <w:rsid w:val="00F43ABF"/>
    <w:rsid w:val="00F43B26"/>
    <w:rsid w:val="00F43CB9"/>
    <w:rsid w:val="00F440CD"/>
    <w:rsid w:val="00F44340"/>
    <w:rsid w:val="00F44E6E"/>
    <w:rsid w:val="00F45407"/>
    <w:rsid w:val="00F45871"/>
    <w:rsid w:val="00F46181"/>
    <w:rsid w:val="00F46243"/>
    <w:rsid w:val="00F466A5"/>
    <w:rsid w:val="00F46B35"/>
    <w:rsid w:val="00F46F19"/>
    <w:rsid w:val="00F50FA1"/>
    <w:rsid w:val="00F51030"/>
    <w:rsid w:val="00F51AF4"/>
    <w:rsid w:val="00F51B1E"/>
    <w:rsid w:val="00F51F32"/>
    <w:rsid w:val="00F527AC"/>
    <w:rsid w:val="00F52C2A"/>
    <w:rsid w:val="00F53F57"/>
    <w:rsid w:val="00F53FB1"/>
    <w:rsid w:val="00F542B6"/>
    <w:rsid w:val="00F55744"/>
    <w:rsid w:val="00F558C1"/>
    <w:rsid w:val="00F573D5"/>
    <w:rsid w:val="00F57B1F"/>
    <w:rsid w:val="00F57C77"/>
    <w:rsid w:val="00F604B4"/>
    <w:rsid w:val="00F60C35"/>
    <w:rsid w:val="00F61C34"/>
    <w:rsid w:val="00F61CDB"/>
    <w:rsid w:val="00F622C9"/>
    <w:rsid w:val="00F62679"/>
    <w:rsid w:val="00F62C68"/>
    <w:rsid w:val="00F635C6"/>
    <w:rsid w:val="00F635CD"/>
    <w:rsid w:val="00F639A1"/>
    <w:rsid w:val="00F63A7F"/>
    <w:rsid w:val="00F63FA5"/>
    <w:rsid w:val="00F640F9"/>
    <w:rsid w:val="00F648A4"/>
    <w:rsid w:val="00F64C26"/>
    <w:rsid w:val="00F65C49"/>
    <w:rsid w:val="00F66D4E"/>
    <w:rsid w:val="00F67140"/>
    <w:rsid w:val="00F67742"/>
    <w:rsid w:val="00F6792D"/>
    <w:rsid w:val="00F70FD1"/>
    <w:rsid w:val="00F72194"/>
    <w:rsid w:val="00F739F0"/>
    <w:rsid w:val="00F73D97"/>
    <w:rsid w:val="00F74782"/>
    <w:rsid w:val="00F74B60"/>
    <w:rsid w:val="00F75070"/>
    <w:rsid w:val="00F75460"/>
    <w:rsid w:val="00F757A3"/>
    <w:rsid w:val="00F757C2"/>
    <w:rsid w:val="00F7607D"/>
    <w:rsid w:val="00F76947"/>
    <w:rsid w:val="00F77E3A"/>
    <w:rsid w:val="00F80F53"/>
    <w:rsid w:val="00F81777"/>
    <w:rsid w:val="00F8190E"/>
    <w:rsid w:val="00F8198B"/>
    <w:rsid w:val="00F820C1"/>
    <w:rsid w:val="00F8230F"/>
    <w:rsid w:val="00F842EA"/>
    <w:rsid w:val="00F84650"/>
    <w:rsid w:val="00F85282"/>
    <w:rsid w:val="00F87465"/>
    <w:rsid w:val="00F900FB"/>
    <w:rsid w:val="00F903AD"/>
    <w:rsid w:val="00F90E65"/>
    <w:rsid w:val="00F918B4"/>
    <w:rsid w:val="00F92F42"/>
    <w:rsid w:val="00F934A1"/>
    <w:rsid w:val="00F942CE"/>
    <w:rsid w:val="00F94E04"/>
    <w:rsid w:val="00F95774"/>
    <w:rsid w:val="00F95891"/>
    <w:rsid w:val="00F958F7"/>
    <w:rsid w:val="00F95E30"/>
    <w:rsid w:val="00F961BD"/>
    <w:rsid w:val="00F96A47"/>
    <w:rsid w:val="00F96A63"/>
    <w:rsid w:val="00F96DDD"/>
    <w:rsid w:val="00F971B8"/>
    <w:rsid w:val="00F97454"/>
    <w:rsid w:val="00F97746"/>
    <w:rsid w:val="00F97D57"/>
    <w:rsid w:val="00FA06E7"/>
    <w:rsid w:val="00FA1310"/>
    <w:rsid w:val="00FA1821"/>
    <w:rsid w:val="00FA1970"/>
    <w:rsid w:val="00FA1A63"/>
    <w:rsid w:val="00FA267C"/>
    <w:rsid w:val="00FA3980"/>
    <w:rsid w:val="00FA43C8"/>
    <w:rsid w:val="00FA490F"/>
    <w:rsid w:val="00FA498B"/>
    <w:rsid w:val="00FA4FAA"/>
    <w:rsid w:val="00FA5B19"/>
    <w:rsid w:val="00FA5E38"/>
    <w:rsid w:val="00FA6383"/>
    <w:rsid w:val="00FA65FD"/>
    <w:rsid w:val="00FA66CE"/>
    <w:rsid w:val="00FA7E47"/>
    <w:rsid w:val="00FB0323"/>
    <w:rsid w:val="00FB1175"/>
    <w:rsid w:val="00FB265F"/>
    <w:rsid w:val="00FB2877"/>
    <w:rsid w:val="00FB384F"/>
    <w:rsid w:val="00FB4213"/>
    <w:rsid w:val="00FB4806"/>
    <w:rsid w:val="00FB494F"/>
    <w:rsid w:val="00FB6A94"/>
    <w:rsid w:val="00FB6F5C"/>
    <w:rsid w:val="00FB78C3"/>
    <w:rsid w:val="00FB79B4"/>
    <w:rsid w:val="00FC00BA"/>
    <w:rsid w:val="00FC1289"/>
    <w:rsid w:val="00FC23F2"/>
    <w:rsid w:val="00FC2804"/>
    <w:rsid w:val="00FC3763"/>
    <w:rsid w:val="00FC3A95"/>
    <w:rsid w:val="00FC41CC"/>
    <w:rsid w:val="00FC4277"/>
    <w:rsid w:val="00FC4B38"/>
    <w:rsid w:val="00FC4CF3"/>
    <w:rsid w:val="00FC5484"/>
    <w:rsid w:val="00FC5EB0"/>
    <w:rsid w:val="00FC60AA"/>
    <w:rsid w:val="00FC6614"/>
    <w:rsid w:val="00FC6DC7"/>
    <w:rsid w:val="00FC6FBF"/>
    <w:rsid w:val="00FC78D1"/>
    <w:rsid w:val="00FC7AD0"/>
    <w:rsid w:val="00FD1E0B"/>
    <w:rsid w:val="00FD35FD"/>
    <w:rsid w:val="00FD3D84"/>
    <w:rsid w:val="00FD3DC6"/>
    <w:rsid w:val="00FD3EBE"/>
    <w:rsid w:val="00FD48C2"/>
    <w:rsid w:val="00FD59A8"/>
    <w:rsid w:val="00FD5D5C"/>
    <w:rsid w:val="00FD6B59"/>
    <w:rsid w:val="00FD6B77"/>
    <w:rsid w:val="00FE0944"/>
    <w:rsid w:val="00FE17D9"/>
    <w:rsid w:val="00FE2715"/>
    <w:rsid w:val="00FE385D"/>
    <w:rsid w:val="00FE3BB0"/>
    <w:rsid w:val="00FE3CD7"/>
    <w:rsid w:val="00FE4BDF"/>
    <w:rsid w:val="00FE62DA"/>
    <w:rsid w:val="00FE65DD"/>
    <w:rsid w:val="00FE782F"/>
    <w:rsid w:val="00FE7ED1"/>
    <w:rsid w:val="00FF0E18"/>
    <w:rsid w:val="00FF0F86"/>
    <w:rsid w:val="00FF1708"/>
    <w:rsid w:val="00FF18C9"/>
    <w:rsid w:val="00FF1D86"/>
    <w:rsid w:val="00FF2545"/>
    <w:rsid w:val="00FF2F36"/>
    <w:rsid w:val="00FF3746"/>
    <w:rsid w:val="00FF47D3"/>
    <w:rsid w:val="00FF48A0"/>
    <w:rsid w:val="00FF4C1E"/>
    <w:rsid w:val="00FF4E78"/>
    <w:rsid w:val="00FF568F"/>
    <w:rsid w:val="00FF636A"/>
    <w:rsid w:val="00FF6D88"/>
    <w:rsid w:val="010A9373"/>
    <w:rsid w:val="013D52A5"/>
    <w:rsid w:val="0141F906"/>
    <w:rsid w:val="0155E2CC"/>
    <w:rsid w:val="017272BB"/>
    <w:rsid w:val="0188C6BB"/>
    <w:rsid w:val="01B8C03B"/>
    <w:rsid w:val="0215D506"/>
    <w:rsid w:val="0240B97A"/>
    <w:rsid w:val="027C6E11"/>
    <w:rsid w:val="0287D35C"/>
    <w:rsid w:val="02945BCA"/>
    <w:rsid w:val="02997935"/>
    <w:rsid w:val="02A727CA"/>
    <w:rsid w:val="02AF92B3"/>
    <w:rsid w:val="02C774B3"/>
    <w:rsid w:val="02CDC11E"/>
    <w:rsid w:val="02E31777"/>
    <w:rsid w:val="0339060F"/>
    <w:rsid w:val="0353E1A2"/>
    <w:rsid w:val="035AE8F6"/>
    <w:rsid w:val="036512D8"/>
    <w:rsid w:val="039DC2A4"/>
    <w:rsid w:val="0412F971"/>
    <w:rsid w:val="04634BC0"/>
    <w:rsid w:val="047ED613"/>
    <w:rsid w:val="04CC5FB1"/>
    <w:rsid w:val="04DBFC9C"/>
    <w:rsid w:val="050EA9AF"/>
    <w:rsid w:val="05102A1D"/>
    <w:rsid w:val="0511BD46"/>
    <w:rsid w:val="051D0E09"/>
    <w:rsid w:val="05203F05"/>
    <w:rsid w:val="055A8405"/>
    <w:rsid w:val="0585694F"/>
    <w:rsid w:val="059E46F6"/>
    <w:rsid w:val="05DFCE8A"/>
    <w:rsid w:val="0630E8C0"/>
    <w:rsid w:val="064EECC2"/>
    <w:rsid w:val="06939961"/>
    <w:rsid w:val="06A6FDC4"/>
    <w:rsid w:val="06A7ECBC"/>
    <w:rsid w:val="06B8DD27"/>
    <w:rsid w:val="06BA3858"/>
    <w:rsid w:val="06C44AF0"/>
    <w:rsid w:val="06CF0C9A"/>
    <w:rsid w:val="06DEA860"/>
    <w:rsid w:val="06E044BD"/>
    <w:rsid w:val="07183022"/>
    <w:rsid w:val="073DE8A1"/>
    <w:rsid w:val="0745F29C"/>
    <w:rsid w:val="07460572"/>
    <w:rsid w:val="0768E00D"/>
    <w:rsid w:val="0792F406"/>
    <w:rsid w:val="07A9065F"/>
    <w:rsid w:val="07BCA9F6"/>
    <w:rsid w:val="0813717B"/>
    <w:rsid w:val="0845F1EE"/>
    <w:rsid w:val="085A8DBB"/>
    <w:rsid w:val="08630027"/>
    <w:rsid w:val="08ABA2E8"/>
    <w:rsid w:val="08C656EE"/>
    <w:rsid w:val="08D3C2AD"/>
    <w:rsid w:val="08E44D17"/>
    <w:rsid w:val="0903F10C"/>
    <w:rsid w:val="0906A310"/>
    <w:rsid w:val="090A9DC7"/>
    <w:rsid w:val="091CE3DC"/>
    <w:rsid w:val="091EC8AD"/>
    <w:rsid w:val="09B21892"/>
    <w:rsid w:val="09CC249E"/>
    <w:rsid w:val="09EA9BC5"/>
    <w:rsid w:val="0A0298C8"/>
    <w:rsid w:val="0A135B32"/>
    <w:rsid w:val="0A17D8D8"/>
    <w:rsid w:val="0A3C287A"/>
    <w:rsid w:val="0A5EBD64"/>
    <w:rsid w:val="0A6D3015"/>
    <w:rsid w:val="0AA83A76"/>
    <w:rsid w:val="0AF03053"/>
    <w:rsid w:val="0AFB1B37"/>
    <w:rsid w:val="0B27FDDF"/>
    <w:rsid w:val="0B4C4552"/>
    <w:rsid w:val="0B53C8ED"/>
    <w:rsid w:val="0B71BC2A"/>
    <w:rsid w:val="0B785FFE"/>
    <w:rsid w:val="0B8E66A3"/>
    <w:rsid w:val="0BB9342E"/>
    <w:rsid w:val="0BBC8DC7"/>
    <w:rsid w:val="0BE71597"/>
    <w:rsid w:val="0C157DAE"/>
    <w:rsid w:val="0C2D3D2E"/>
    <w:rsid w:val="0C331A30"/>
    <w:rsid w:val="0C41ECDB"/>
    <w:rsid w:val="0C4DAFF4"/>
    <w:rsid w:val="0C508FAD"/>
    <w:rsid w:val="0C59106B"/>
    <w:rsid w:val="0C7998C2"/>
    <w:rsid w:val="0C891AE0"/>
    <w:rsid w:val="0C910098"/>
    <w:rsid w:val="0C966007"/>
    <w:rsid w:val="0CDF63E4"/>
    <w:rsid w:val="0CE7EC36"/>
    <w:rsid w:val="0CECBF6B"/>
    <w:rsid w:val="0CF392AC"/>
    <w:rsid w:val="0D1D4DF3"/>
    <w:rsid w:val="0D440577"/>
    <w:rsid w:val="0D466200"/>
    <w:rsid w:val="0D51CF02"/>
    <w:rsid w:val="0D5D7B6F"/>
    <w:rsid w:val="0D846279"/>
    <w:rsid w:val="0D9ADBA5"/>
    <w:rsid w:val="0DAE59F2"/>
    <w:rsid w:val="0DC49775"/>
    <w:rsid w:val="0DED28DF"/>
    <w:rsid w:val="0DF5EBDA"/>
    <w:rsid w:val="0E068D35"/>
    <w:rsid w:val="0E34175F"/>
    <w:rsid w:val="0E7E007A"/>
    <w:rsid w:val="0E814675"/>
    <w:rsid w:val="0EA9E513"/>
    <w:rsid w:val="0ED7997A"/>
    <w:rsid w:val="0EEE4FF4"/>
    <w:rsid w:val="0EFB32FD"/>
    <w:rsid w:val="0EFE0FD0"/>
    <w:rsid w:val="0F11963C"/>
    <w:rsid w:val="0F5527D0"/>
    <w:rsid w:val="0F6CD216"/>
    <w:rsid w:val="0FC979AE"/>
    <w:rsid w:val="0FE62CA9"/>
    <w:rsid w:val="10178D1C"/>
    <w:rsid w:val="102AF0FE"/>
    <w:rsid w:val="102F0444"/>
    <w:rsid w:val="1043D3F5"/>
    <w:rsid w:val="1057234C"/>
    <w:rsid w:val="10733F54"/>
    <w:rsid w:val="10AD4A34"/>
    <w:rsid w:val="10B4AF58"/>
    <w:rsid w:val="10B70EBE"/>
    <w:rsid w:val="10E07DC4"/>
    <w:rsid w:val="10F1C941"/>
    <w:rsid w:val="10F49A23"/>
    <w:rsid w:val="116DA7C9"/>
    <w:rsid w:val="118ED5B9"/>
    <w:rsid w:val="119AF2FC"/>
    <w:rsid w:val="12032B9C"/>
    <w:rsid w:val="1218C26C"/>
    <w:rsid w:val="1246B7D6"/>
    <w:rsid w:val="125419F8"/>
    <w:rsid w:val="125484AA"/>
    <w:rsid w:val="125B6888"/>
    <w:rsid w:val="127E23FB"/>
    <w:rsid w:val="12BCEA9C"/>
    <w:rsid w:val="12DEFF58"/>
    <w:rsid w:val="12FF5CA8"/>
    <w:rsid w:val="132B1DF4"/>
    <w:rsid w:val="13300D6A"/>
    <w:rsid w:val="137AC8FF"/>
    <w:rsid w:val="139872A0"/>
    <w:rsid w:val="13A1006C"/>
    <w:rsid w:val="13A7FABC"/>
    <w:rsid w:val="13A84495"/>
    <w:rsid w:val="13C381C1"/>
    <w:rsid w:val="1417B780"/>
    <w:rsid w:val="14394929"/>
    <w:rsid w:val="143E8A49"/>
    <w:rsid w:val="144FEE13"/>
    <w:rsid w:val="14807130"/>
    <w:rsid w:val="14AE0C67"/>
    <w:rsid w:val="14B98D9D"/>
    <w:rsid w:val="152E7645"/>
    <w:rsid w:val="154A620D"/>
    <w:rsid w:val="155D2673"/>
    <w:rsid w:val="15679312"/>
    <w:rsid w:val="158B4DD1"/>
    <w:rsid w:val="162DE502"/>
    <w:rsid w:val="165D24FF"/>
    <w:rsid w:val="1666CDD9"/>
    <w:rsid w:val="167E6C15"/>
    <w:rsid w:val="169B88CF"/>
    <w:rsid w:val="16C00786"/>
    <w:rsid w:val="16D33538"/>
    <w:rsid w:val="16D78B31"/>
    <w:rsid w:val="16DC4D9A"/>
    <w:rsid w:val="16E3D013"/>
    <w:rsid w:val="17041059"/>
    <w:rsid w:val="170E18B2"/>
    <w:rsid w:val="1713098C"/>
    <w:rsid w:val="1713D877"/>
    <w:rsid w:val="1722DAA2"/>
    <w:rsid w:val="173078D7"/>
    <w:rsid w:val="1738EF1B"/>
    <w:rsid w:val="17637B79"/>
    <w:rsid w:val="17A08E92"/>
    <w:rsid w:val="17E7AF63"/>
    <w:rsid w:val="17FBB711"/>
    <w:rsid w:val="17FE2581"/>
    <w:rsid w:val="17FF14C2"/>
    <w:rsid w:val="18026A98"/>
    <w:rsid w:val="1805841D"/>
    <w:rsid w:val="18251719"/>
    <w:rsid w:val="185CCB35"/>
    <w:rsid w:val="1871E97D"/>
    <w:rsid w:val="1896CB19"/>
    <w:rsid w:val="18A578DD"/>
    <w:rsid w:val="18D74CA8"/>
    <w:rsid w:val="191FFC4F"/>
    <w:rsid w:val="19420068"/>
    <w:rsid w:val="19D02B87"/>
    <w:rsid w:val="1A2BFCCA"/>
    <w:rsid w:val="1A46CD9A"/>
    <w:rsid w:val="1A9C05A9"/>
    <w:rsid w:val="1AB66ABE"/>
    <w:rsid w:val="1AD73A1E"/>
    <w:rsid w:val="1ADF76A3"/>
    <w:rsid w:val="1AF6B4DB"/>
    <w:rsid w:val="1B098E63"/>
    <w:rsid w:val="1B37F54B"/>
    <w:rsid w:val="1B4B014D"/>
    <w:rsid w:val="1B564A01"/>
    <w:rsid w:val="1B9A2588"/>
    <w:rsid w:val="1BCC511E"/>
    <w:rsid w:val="1BEE5892"/>
    <w:rsid w:val="1BF2EF6E"/>
    <w:rsid w:val="1C0E9282"/>
    <w:rsid w:val="1C101D06"/>
    <w:rsid w:val="1C181083"/>
    <w:rsid w:val="1C2333EF"/>
    <w:rsid w:val="1C464FD6"/>
    <w:rsid w:val="1C9640DD"/>
    <w:rsid w:val="1CA437DD"/>
    <w:rsid w:val="1CA4859A"/>
    <w:rsid w:val="1CAF80B8"/>
    <w:rsid w:val="1CDD9A44"/>
    <w:rsid w:val="1CECA4C8"/>
    <w:rsid w:val="1CF647FD"/>
    <w:rsid w:val="1D18CC03"/>
    <w:rsid w:val="1D2A4F4F"/>
    <w:rsid w:val="1D3AC727"/>
    <w:rsid w:val="1D94582C"/>
    <w:rsid w:val="1D956C47"/>
    <w:rsid w:val="1D959D37"/>
    <w:rsid w:val="1D9868E2"/>
    <w:rsid w:val="1D9DA529"/>
    <w:rsid w:val="1DB9426C"/>
    <w:rsid w:val="1DDE9D95"/>
    <w:rsid w:val="1DDF16C1"/>
    <w:rsid w:val="1DF66FB7"/>
    <w:rsid w:val="1E05FBEF"/>
    <w:rsid w:val="1E281D69"/>
    <w:rsid w:val="1E3CD4BF"/>
    <w:rsid w:val="1E5D7193"/>
    <w:rsid w:val="1E7FF5C8"/>
    <w:rsid w:val="1E8ECBC5"/>
    <w:rsid w:val="1ECF58AF"/>
    <w:rsid w:val="1ECF842D"/>
    <w:rsid w:val="1EE29CF8"/>
    <w:rsid w:val="1F07A0BB"/>
    <w:rsid w:val="1F20D6EE"/>
    <w:rsid w:val="1F39263F"/>
    <w:rsid w:val="1F3F58A9"/>
    <w:rsid w:val="1F5211C3"/>
    <w:rsid w:val="1F8AA97B"/>
    <w:rsid w:val="1F94ADE3"/>
    <w:rsid w:val="1F9D8B1B"/>
    <w:rsid w:val="1F9EDFE4"/>
    <w:rsid w:val="1FF07DA4"/>
    <w:rsid w:val="20064255"/>
    <w:rsid w:val="200CBEA2"/>
    <w:rsid w:val="20364736"/>
    <w:rsid w:val="2061361F"/>
    <w:rsid w:val="208842ED"/>
    <w:rsid w:val="209E6B45"/>
    <w:rsid w:val="209FDA9B"/>
    <w:rsid w:val="20AA3A05"/>
    <w:rsid w:val="20D88C94"/>
    <w:rsid w:val="20E0E572"/>
    <w:rsid w:val="20EC3FD5"/>
    <w:rsid w:val="20ECD63A"/>
    <w:rsid w:val="20FAA3CF"/>
    <w:rsid w:val="2113DCDA"/>
    <w:rsid w:val="21317F77"/>
    <w:rsid w:val="214C4F28"/>
    <w:rsid w:val="21549A7F"/>
    <w:rsid w:val="2161FF03"/>
    <w:rsid w:val="2177FA3C"/>
    <w:rsid w:val="217A7751"/>
    <w:rsid w:val="2197D42C"/>
    <w:rsid w:val="21CAEB80"/>
    <w:rsid w:val="220EC579"/>
    <w:rsid w:val="2234E153"/>
    <w:rsid w:val="226F402F"/>
    <w:rsid w:val="22CF9990"/>
    <w:rsid w:val="230E9F32"/>
    <w:rsid w:val="231DC538"/>
    <w:rsid w:val="23325F16"/>
    <w:rsid w:val="235935B1"/>
    <w:rsid w:val="235E6620"/>
    <w:rsid w:val="235F5763"/>
    <w:rsid w:val="236828F8"/>
    <w:rsid w:val="237C2023"/>
    <w:rsid w:val="2390B579"/>
    <w:rsid w:val="23E5EF02"/>
    <w:rsid w:val="240B6800"/>
    <w:rsid w:val="243570AA"/>
    <w:rsid w:val="2453788A"/>
    <w:rsid w:val="246C1291"/>
    <w:rsid w:val="2482764D"/>
    <w:rsid w:val="24876FD2"/>
    <w:rsid w:val="24901A20"/>
    <w:rsid w:val="2491C664"/>
    <w:rsid w:val="24BDF036"/>
    <w:rsid w:val="24F638D9"/>
    <w:rsid w:val="252C7837"/>
    <w:rsid w:val="2588E970"/>
    <w:rsid w:val="25CFB010"/>
    <w:rsid w:val="25E876EC"/>
    <w:rsid w:val="26244C6D"/>
    <w:rsid w:val="266FBCD2"/>
    <w:rsid w:val="2677DADF"/>
    <w:rsid w:val="268ABEDE"/>
    <w:rsid w:val="26D6DA9C"/>
    <w:rsid w:val="26FC02CA"/>
    <w:rsid w:val="27078ACF"/>
    <w:rsid w:val="271D221D"/>
    <w:rsid w:val="274BB62F"/>
    <w:rsid w:val="27662348"/>
    <w:rsid w:val="2794D012"/>
    <w:rsid w:val="27A20409"/>
    <w:rsid w:val="27A58B7D"/>
    <w:rsid w:val="27D696EC"/>
    <w:rsid w:val="27F47EED"/>
    <w:rsid w:val="2803D027"/>
    <w:rsid w:val="2808805B"/>
    <w:rsid w:val="28108C02"/>
    <w:rsid w:val="2819E547"/>
    <w:rsid w:val="282B2518"/>
    <w:rsid w:val="283B99EE"/>
    <w:rsid w:val="2886F0ED"/>
    <w:rsid w:val="289B5049"/>
    <w:rsid w:val="28D540CD"/>
    <w:rsid w:val="28D5FFA2"/>
    <w:rsid w:val="28E31239"/>
    <w:rsid w:val="2900D18D"/>
    <w:rsid w:val="29142654"/>
    <w:rsid w:val="295E8515"/>
    <w:rsid w:val="29A6215C"/>
    <w:rsid w:val="29BCE7DF"/>
    <w:rsid w:val="29C80D68"/>
    <w:rsid w:val="29CB19AE"/>
    <w:rsid w:val="29E176E3"/>
    <w:rsid w:val="29E75389"/>
    <w:rsid w:val="29F2A0F7"/>
    <w:rsid w:val="2A033D79"/>
    <w:rsid w:val="2A24D41D"/>
    <w:rsid w:val="2A35AD75"/>
    <w:rsid w:val="2A6353CF"/>
    <w:rsid w:val="2A91C50B"/>
    <w:rsid w:val="2A963F9D"/>
    <w:rsid w:val="2ADB61FB"/>
    <w:rsid w:val="2AED1E75"/>
    <w:rsid w:val="2B062A84"/>
    <w:rsid w:val="2B1B00B3"/>
    <w:rsid w:val="2B32C640"/>
    <w:rsid w:val="2B33C3FD"/>
    <w:rsid w:val="2B4E83E2"/>
    <w:rsid w:val="2B6572FC"/>
    <w:rsid w:val="2B844C0C"/>
    <w:rsid w:val="2BC39ECA"/>
    <w:rsid w:val="2BC4D910"/>
    <w:rsid w:val="2BD7DB29"/>
    <w:rsid w:val="2BDED74B"/>
    <w:rsid w:val="2BEC37B4"/>
    <w:rsid w:val="2C159FD5"/>
    <w:rsid w:val="2C6F52A6"/>
    <w:rsid w:val="2C7D40B0"/>
    <w:rsid w:val="2C9CC683"/>
    <w:rsid w:val="2CA2ECA6"/>
    <w:rsid w:val="2CAD616C"/>
    <w:rsid w:val="2CC03B82"/>
    <w:rsid w:val="2CC35A65"/>
    <w:rsid w:val="2CFEA480"/>
    <w:rsid w:val="2D01D690"/>
    <w:rsid w:val="2D5D33DA"/>
    <w:rsid w:val="2D6C7DC2"/>
    <w:rsid w:val="2D74DEDF"/>
    <w:rsid w:val="2D7F31B1"/>
    <w:rsid w:val="2DCB15C9"/>
    <w:rsid w:val="2DE40762"/>
    <w:rsid w:val="2DF1CB96"/>
    <w:rsid w:val="2DFDAA89"/>
    <w:rsid w:val="2E0252E0"/>
    <w:rsid w:val="2E07CDAC"/>
    <w:rsid w:val="2E24158A"/>
    <w:rsid w:val="2E42BE8E"/>
    <w:rsid w:val="2EB31C00"/>
    <w:rsid w:val="2EE7053C"/>
    <w:rsid w:val="2F1DB90D"/>
    <w:rsid w:val="2F4A58C2"/>
    <w:rsid w:val="2F590339"/>
    <w:rsid w:val="2F7A2345"/>
    <w:rsid w:val="2F9D826E"/>
    <w:rsid w:val="2FAF4E9C"/>
    <w:rsid w:val="2FBD3920"/>
    <w:rsid w:val="2FE55196"/>
    <w:rsid w:val="303C50CF"/>
    <w:rsid w:val="305ACD21"/>
    <w:rsid w:val="306687C5"/>
    <w:rsid w:val="307FEF1F"/>
    <w:rsid w:val="3090F74C"/>
    <w:rsid w:val="30AFA3C6"/>
    <w:rsid w:val="30EEACA6"/>
    <w:rsid w:val="30F4BA8B"/>
    <w:rsid w:val="30F9DA5B"/>
    <w:rsid w:val="313C4AD2"/>
    <w:rsid w:val="31AD926C"/>
    <w:rsid w:val="31DAA1B2"/>
    <w:rsid w:val="31E8A5E0"/>
    <w:rsid w:val="31F7FC56"/>
    <w:rsid w:val="32053739"/>
    <w:rsid w:val="3221EFAD"/>
    <w:rsid w:val="323224A6"/>
    <w:rsid w:val="323C59CF"/>
    <w:rsid w:val="326DC2B9"/>
    <w:rsid w:val="32749158"/>
    <w:rsid w:val="32781009"/>
    <w:rsid w:val="3280661E"/>
    <w:rsid w:val="32B52646"/>
    <w:rsid w:val="33056C41"/>
    <w:rsid w:val="330AC55C"/>
    <w:rsid w:val="331F3FDE"/>
    <w:rsid w:val="332D9BDC"/>
    <w:rsid w:val="3360894F"/>
    <w:rsid w:val="33626ACC"/>
    <w:rsid w:val="337E6E45"/>
    <w:rsid w:val="33ABE77A"/>
    <w:rsid w:val="33AD362B"/>
    <w:rsid w:val="33DDC760"/>
    <w:rsid w:val="340E9F7A"/>
    <w:rsid w:val="3416E5E8"/>
    <w:rsid w:val="34211287"/>
    <w:rsid w:val="34389755"/>
    <w:rsid w:val="345B2793"/>
    <w:rsid w:val="34636EA9"/>
    <w:rsid w:val="3496DD27"/>
    <w:rsid w:val="34B728BE"/>
    <w:rsid w:val="34C14691"/>
    <w:rsid w:val="34CF1E84"/>
    <w:rsid w:val="34DA1CFF"/>
    <w:rsid w:val="350C7834"/>
    <w:rsid w:val="3533BC31"/>
    <w:rsid w:val="353C341B"/>
    <w:rsid w:val="353F15A1"/>
    <w:rsid w:val="3543CF22"/>
    <w:rsid w:val="3563A71B"/>
    <w:rsid w:val="35755B96"/>
    <w:rsid w:val="35892364"/>
    <w:rsid w:val="3589423E"/>
    <w:rsid w:val="35949516"/>
    <w:rsid w:val="359B253C"/>
    <w:rsid w:val="35C8D8E8"/>
    <w:rsid w:val="35C99288"/>
    <w:rsid w:val="35ED8269"/>
    <w:rsid w:val="35EDD558"/>
    <w:rsid w:val="35F28934"/>
    <w:rsid w:val="362A5DA2"/>
    <w:rsid w:val="362B7587"/>
    <w:rsid w:val="363F40C0"/>
    <w:rsid w:val="36BD07E8"/>
    <w:rsid w:val="36FA5C63"/>
    <w:rsid w:val="36FCAB79"/>
    <w:rsid w:val="372AE339"/>
    <w:rsid w:val="373C8DE2"/>
    <w:rsid w:val="374158D9"/>
    <w:rsid w:val="37456F45"/>
    <w:rsid w:val="37714218"/>
    <w:rsid w:val="377605FB"/>
    <w:rsid w:val="37EEB543"/>
    <w:rsid w:val="37FF6AC7"/>
    <w:rsid w:val="38244F17"/>
    <w:rsid w:val="3850A109"/>
    <w:rsid w:val="38513497"/>
    <w:rsid w:val="3857BE8A"/>
    <w:rsid w:val="38836623"/>
    <w:rsid w:val="38B50425"/>
    <w:rsid w:val="38BB1584"/>
    <w:rsid w:val="38FCF733"/>
    <w:rsid w:val="391473A0"/>
    <w:rsid w:val="39210678"/>
    <w:rsid w:val="39233214"/>
    <w:rsid w:val="395ABC62"/>
    <w:rsid w:val="3978B44A"/>
    <w:rsid w:val="39A42767"/>
    <w:rsid w:val="39D10F64"/>
    <w:rsid w:val="39E8B33C"/>
    <w:rsid w:val="3A1168CA"/>
    <w:rsid w:val="3A1BE5B5"/>
    <w:rsid w:val="3A1DEBF7"/>
    <w:rsid w:val="3A282A5B"/>
    <w:rsid w:val="3A2B7800"/>
    <w:rsid w:val="3A392655"/>
    <w:rsid w:val="3A5E50AE"/>
    <w:rsid w:val="3A5FF794"/>
    <w:rsid w:val="3A60E467"/>
    <w:rsid w:val="3A6552D6"/>
    <w:rsid w:val="3A6F7D02"/>
    <w:rsid w:val="3A79F79B"/>
    <w:rsid w:val="3A87893F"/>
    <w:rsid w:val="3ACA97F3"/>
    <w:rsid w:val="3AD4BA56"/>
    <w:rsid w:val="3AE178B0"/>
    <w:rsid w:val="3AF2BC9E"/>
    <w:rsid w:val="3AF3EB0C"/>
    <w:rsid w:val="3B07BF66"/>
    <w:rsid w:val="3B471124"/>
    <w:rsid w:val="3B4E6BA6"/>
    <w:rsid w:val="3B5E2170"/>
    <w:rsid w:val="3B62BC62"/>
    <w:rsid w:val="3B6A348C"/>
    <w:rsid w:val="3B8BAA94"/>
    <w:rsid w:val="3B904593"/>
    <w:rsid w:val="3BA2307C"/>
    <w:rsid w:val="3BCE73FF"/>
    <w:rsid w:val="3BEFF2EE"/>
    <w:rsid w:val="3C1D46F6"/>
    <w:rsid w:val="3C2839B1"/>
    <w:rsid w:val="3C44A651"/>
    <w:rsid w:val="3C7D3AB2"/>
    <w:rsid w:val="3CAE71E9"/>
    <w:rsid w:val="3CE1057A"/>
    <w:rsid w:val="3D3CB410"/>
    <w:rsid w:val="3D422804"/>
    <w:rsid w:val="3DBFF475"/>
    <w:rsid w:val="3DF2332B"/>
    <w:rsid w:val="3E1BD661"/>
    <w:rsid w:val="3E41E65F"/>
    <w:rsid w:val="3E715B23"/>
    <w:rsid w:val="3E758708"/>
    <w:rsid w:val="3EA08E16"/>
    <w:rsid w:val="3EE40762"/>
    <w:rsid w:val="3EEFA8FD"/>
    <w:rsid w:val="3F19A03D"/>
    <w:rsid w:val="3F2A7E4F"/>
    <w:rsid w:val="3F3A8072"/>
    <w:rsid w:val="3F4184A5"/>
    <w:rsid w:val="3FE5033D"/>
    <w:rsid w:val="4034C37B"/>
    <w:rsid w:val="4053215D"/>
    <w:rsid w:val="40DA7C8C"/>
    <w:rsid w:val="411B82A5"/>
    <w:rsid w:val="4139E47C"/>
    <w:rsid w:val="418DB5AE"/>
    <w:rsid w:val="41B41210"/>
    <w:rsid w:val="41D97DCF"/>
    <w:rsid w:val="41F7D732"/>
    <w:rsid w:val="41FEE884"/>
    <w:rsid w:val="4206AF05"/>
    <w:rsid w:val="421C5C55"/>
    <w:rsid w:val="4236DE97"/>
    <w:rsid w:val="42478BBE"/>
    <w:rsid w:val="425A3B82"/>
    <w:rsid w:val="426C012B"/>
    <w:rsid w:val="4297AA14"/>
    <w:rsid w:val="42B91A0F"/>
    <w:rsid w:val="42CCCBC9"/>
    <w:rsid w:val="42EB9F6E"/>
    <w:rsid w:val="431E9A10"/>
    <w:rsid w:val="43460DEE"/>
    <w:rsid w:val="4357F908"/>
    <w:rsid w:val="4387353E"/>
    <w:rsid w:val="438C8999"/>
    <w:rsid w:val="439BE665"/>
    <w:rsid w:val="43A74AE1"/>
    <w:rsid w:val="43AAE1C2"/>
    <w:rsid w:val="43BDD429"/>
    <w:rsid w:val="43BE78F0"/>
    <w:rsid w:val="43C0BC8D"/>
    <w:rsid w:val="4414131A"/>
    <w:rsid w:val="442461CB"/>
    <w:rsid w:val="44326622"/>
    <w:rsid w:val="44389651"/>
    <w:rsid w:val="444F58C6"/>
    <w:rsid w:val="4471A2D3"/>
    <w:rsid w:val="44CEF986"/>
    <w:rsid w:val="44D2EA78"/>
    <w:rsid w:val="44E860A3"/>
    <w:rsid w:val="44EFECB2"/>
    <w:rsid w:val="45335705"/>
    <w:rsid w:val="453FD94C"/>
    <w:rsid w:val="454111CC"/>
    <w:rsid w:val="456B8AA7"/>
    <w:rsid w:val="45801330"/>
    <w:rsid w:val="45837091"/>
    <w:rsid w:val="45955A5E"/>
    <w:rsid w:val="45D5D46E"/>
    <w:rsid w:val="45DE2490"/>
    <w:rsid w:val="45DEFDD8"/>
    <w:rsid w:val="460F4994"/>
    <w:rsid w:val="461B5033"/>
    <w:rsid w:val="4634512F"/>
    <w:rsid w:val="463DE954"/>
    <w:rsid w:val="4640E8EF"/>
    <w:rsid w:val="46886E1D"/>
    <w:rsid w:val="470A8DB5"/>
    <w:rsid w:val="476BFABD"/>
    <w:rsid w:val="479ACA1C"/>
    <w:rsid w:val="47A18146"/>
    <w:rsid w:val="47ED0226"/>
    <w:rsid w:val="47F4F304"/>
    <w:rsid w:val="48157B46"/>
    <w:rsid w:val="482F3E58"/>
    <w:rsid w:val="483C82DF"/>
    <w:rsid w:val="483FB35C"/>
    <w:rsid w:val="485B2667"/>
    <w:rsid w:val="48A1E5DF"/>
    <w:rsid w:val="48B57ECA"/>
    <w:rsid w:val="48B63303"/>
    <w:rsid w:val="48FAC3F8"/>
    <w:rsid w:val="48FC5461"/>
    <w:rsid w:val="490F0DA9"/>
    <w:rsid w:val="4919CFF7"/>
    <w:rsid w:val="49218FB6"/>
    <w:rsid w:val="492967CB"/>
    <w:rsid w:val="493589EB"/>
    <w:rsid w:val="49719B8C"/>
    <w:rsid w:val="4979D107"/>
    <w:rsid w:val="498825CF"/>
    <w:rsid w:val="49956B2D"/>
    <w:rsid w:val="49A422DF"/>
    <w:rsid w:val="49A8A050"/>
    <w:rsid w:val="49D5F0B7"/>
    <w:rsid w:val="49E0474C"/>
    <w:rsid w:val="4A220950"/>
    <w:rsid w:val="4A7733F1"/>
    <w:rsid w:val="4A8E527D"/>
    <w:rsid w:val="4A96452C"/>
    <w:rsid w:val="4AA093CE"/>
    <w:rsid w:val="4ABA41FF"/>
    <w:rsid w:val="4ACE51C3"/>
    <w:rsid w:val="4AD56811"/>
    <w:rsid w:val="4AE614CA"/>
    <w:rsid w:val="4B18CD47"/>
    <w:rsid w:val="4B4FA68D"/>
    <w:rsid w:val="4B5092B1"/>
    <w:rsid w:val="4B6E7821"/>
    <w:rsid w:val="4BBD5925"/>
    <w:rsid w:val="4BF4E9C0"/>
    <w:rsid w:val="4C576F47"/>
    <w:rsid w:val="4C5BF59C"/>
    <w:rsid w:val="4C6F57D8"/>
    <w:rsid w:val="4C77E6C5"/>
    <w:rsid w:val="4C7FFAF4"/>
    <w:rsid w:val="4CA05765"/>
    <w:rsid w:val="4CB82B80"/>
    <w:rsid w:val="4CC0D538"/>
    <w:rsid w:val="4CDDC681"/>
    <w:rsid w:val="4CE96409"/>
    <w:rsid w:val="4D000D63"/>
    <w:rsid w:val="4D30C7A3"/>
    <w:rsid w:val="4D3F721B"/>
    <w:rsid w:val="4D547950"/>
    <w:rsid w:val="4D7A3B33"/>
    <w:rsid w:val="4D7B7757"/>
    <w:rsid w:val="4D9857B3"/>
    <w:rsid w:val="4DB23959"/>
    <w:rsid w:val="4DCE1D63"/>
    <w:rsid w:val="4DCEF229"/>
    <w:rsid w:val="4DEDD711"/>
    <w:rsid w:val="4E06CF8E"/>
    <w:rsid w:val="4E29F445"/>
    <w:rsid w:val="4E335D8B"/>
    <w:rsid w:val="4E42F374"/>
    <w:rsid w:val="4E84924C"/>
    <w:rsid w:val="4E8F4D85"/>
    <w:rsid w:val="4E9AC536"/>
    <w:rsid w:val="4EC3724D"/>
    <w:rsid w:val="4EDB4250"/>
    <w:rsid w:val="4EDFD7C2"/>
    <w:rsid w:val="4EE3554B"/>
    <w:rsid w:val="4EF7D4CB"/>
    <w:rsid w:val="4F202FF6"/>
    <w:rsid w:val="4F24B268"/>
    <w:rsid w:val="4F4F52FA"/>
    <w:rsid w:val="4F6C2CD8"/>
    <w:rsid w:val="4F73892B"/>
    <w:rsid w:val="4FA2429C"/>
    <w:rsid w:val="4FAD3140"/>
    <w:rsid w:val="4FB770E1"/>
    <w:rsid w:val="4FBD097F"/>
    <w:rsid w:val="4FC1837E"/>
    <w:rsid w:val="4FC8BBFB"/>
    <w:rsid w:val="4FDD254B"/>
    <w:rsid w:val="4FEC6B5A"/>
    <w:rsid w:val="5049E199"/>
    <w:rsid w:val="50627356"/>
    <w:rsid w:val="50C2AC80"/>
    <w:rsid w:val="50E58696"/>
    <w:rsid w:val="50EAF28B"/>
    <w:rsid w:val="51108E84"/>
    <w:rsid w:val="51187962"/>
    <w:rsid w:val="5149614B"/>
    <w:rsid w:val="51509080"/>
    <w:rsid w:val="516BC6F6"/>
    <w:rsid w:val="51A50C79"/>
    <w:rsid w:val="51AAE555"/>
    <w:rsid w:val="51B035AB"/>
    <w:rsid w:val="51C5A958"/>
    <w:rsid w:val="51C79BE6"/>
    <w:rsid w:val="51D1FD99"/>
    <w:rsid w:val="51D6A762"/>
    <w:rsid w:val="51DF1593"/>
    <w:rsid w:val="51F302B2"/>
    <w:rsid w:val="52111EB3"/>
    <w:rsid w:val="52466B25"/>
    <w:rsid w:val="528FC780"/>
    <w:rsid w:val="529CABDD"/>
    <w:rsid w:val="52A51436"/>
    <w:rsid w:val="52BA6974"/>
    <w:rsid w:val="52BB59C9"/>
    <w:rsid w:val="52CC9D6A"/>
    <w:rsid w:val="52D314F1"/>
    <w:rsid w:val="52D9A386"/>
    <w:rsid w:val="5333B4AF"/>
    <w:rsid w:val="533C3B70"/>
    <w:rsid w:val="5343B158"/>
    <w:rsid w:val="53B361A0"/>
    <w:rsid w:val="53B676C6"/>
    <w:rsid w:val="53C13C3B"/>
    <w:rsid w:val="53CDD251"/>
    <w:rsid w:val="53D5DFDD"/>
    <w:rsid w:val="53FCD13F"/>
    <w:rsid w:val="54002E3B"/>
    <w:rsid w:val="54194A68"/>
    <w:rsid w:val="54420453"/>
    <w:rsid w:val="5475EBBE"/>
    <w:rsid w:val="5480E251"/>
    <w:rsid w:val="548FFA85"/>
    <w:rsid w:val="54A9DFE8"/>
    <w:rsid w:val="54B593DD"/>
    <w:rsid w:val="54EF06A2"/>
    <w:rsid w:val="55102CE1"/>
    <w:rsid w:val="5514F3F4"/>
    <w:rsid w:val="55159F70"/>
    <w:rsid w:val="55259BD4"/>
    <w:rsid w:val="552D884A"/>
    <w:rsid w:val="5537DD80"/>
    <w:rsid w:val="55399A40"/>
    <w:rsid w:val="554839AC"/>
    <w:rsid w:val="5594D766"/>
    <w:rsid w:val="55A2117F"/>
    <w:rsid w:val="55BCE694"/>
    <w:rsid w:val="55C0C067"/>
    <w:rsid w:val="55EA90F9"/>
    <w:rsid w:val="5605986B"/>
    <w:rsid w:val="564AA7E9"/>
    <w:rsid w:val="564CFE90"/>
    <w:rsid w:val="5676C11B"/>
    <w:rsid w:val="5677FD04"/>
    <w:rsid w:val="56919C33"/>
    <w:rsid w:val="569B8ABE"/>
    <w:rsid w:val="570173FE"/>
    <w:rsid w:val="571AE63D"/>
    <w:rsid w:val="574A6070"/>
    <w:rsid w:val="5767BCF2"/>
    <w:rsid w:val="5789E194"/>
    <w:rsid w:val="578BDD80"/>
    <w:rsid w:val="578D504F"/>
    <w:rsid w:val="57AACF76"/>
    <w:rsid w:val="57AD1240"/>
    <w:rsid w:val="57B5C0F1"/>
    <w:rsid w:val="57C17DB7"/>
    <w:rsid w:val="57DF3273"/>
    <w:rsid w:val="5806E494"/>
    <w:rsid w:val="5809EE46"/>
    <w:rsid w:val="5855EED9"/>
    <w:rsid w:val="589508ED"/>
    <w:rsid w:val="58B5E508"/>
    <w:rsid w:val="58CD5C2B"/>
    <w:rsid w:val="58DD1203"/>
    <w:rsid w:val="5923CE41"/>
    <w:rsid w:val="59436839"/>
    <w:rsid w:val="5973B3F8"/>
    <w:rsid w:val="597D98F2"/>
    <w:rsid w:val="598C736E"/>
    <w:rsid w:val="59933436"/>
    <w:rsid w:val="59A637BD"/>
    <w:rsid w:val="59CBC563"/>
    <w:rsid w:val="59DE756E"/>
    <w:rsid w:val="59E7622D"/>
    <w:rsid w:val="59EFA6F7"/>
    <w:rsid w:val="59FB803B"/>
    <w:rsid w:val="5A1BFBDD"/>
    <w:rsid w:val="5A733989"/>
    <w:rsid w:val="5A756A14"/>
    <w:rsid w:val="5AACF767"/>
    <w:rsid w:val="5ABDFF37"/>
    <w:rsid w:val="5AD5A2FE"/>
    <w:rsid w:val="5B7C3F91"/>
    <w:rsid w:val="5BB1673A"/>
    <w:rsid w:val="5BDAD95F"/>
    <w:rsid w:val="5C146606"/>
    <w:rsid w:val="5C441F5C"/>
    <w:rsid w:val="5C591ABB"/>
    <w:rsid w:val="5C5E7C1A"/>
    <w:rsid w:val="5C6ABB47"/>
    <w:rsid w:val="5C7D4BAA"/>
    <w:rsid w:val="5C867C08"/>
    <w:rsid w:val="5CBCBE64"/>
    <w:rsid w:val="5CD18422"/>
    <w:rsid w:val="5D04E841"/>
    <w:rsid w:val="5D1BF050"/>
    <w:rsid w:val="5D1EF2E4"/>
    <w:rsid w:val="5D33B8F1"/>
    <w:rsid w:val="5D558013"/>
    <w:rsid w:val="5D76D6CE"/>
    <w:rsid w:val="5D85446F"/>
    <w:rsid w:val="5D856062"/>
    <w:rsid w:val="5D9FB6A3"/>
    <w:rsid w:val="5DA218FF"/>
    <w:rsid w:val="5DA9A627"/>
    <w:rsid w:val="5DC9791C"/>
    <w:rsid w:val="5DD71A12"/>
    <w:rsid w:val="5E041EDD"/>
    <w:rsid w:val="5E37C801"/>
    <w:rsid w:val="5E5113BE"/>
    <w:rsid w:val="5EAD65B5"/>
    <w:rsid w:val="5EAFFDC3"/>
    <w:rsid w:val="5EBF9E44"/>
    <w:rsid w:val="5EC54EDA"/>
    <w:rsid w:val="5EEC6BBA"/>
    <w:rsid w:val="5EEDAAC9"/>
    <w:rsid w:val="5EF8E179"/>
    <w:rsid w:val="5F0441A2"/>
    <w:rsid w:val="5F0816A3"/>
    <w:rsid w:val="5F100DF1"/>
    <w:rsid w:val="5F1C4E8B"/>
    <w:rsid w:val="5F3119AA"/>
    <w:rsid w:val="5FA654D8"/>
    <w:rsid w:val="5FADCD2C"/>
    <w:rsid w:val="5FB3CE60"/>
    <w:rsid w:val="5FD0C6BD"/>
    <w:rsid w:val="5FEB8884"/>
    <w:rsid w:val="600FF4CF"/>
    <w:rsid w:val="6028A5F9"/>
    <w:rsid w:val="606FB8F3"/>
    <w:rsid w:val="609636E9"/>
    <w:rsid w:val="60E3709B"/>
    <w:rsid w:val="60E6C1D5"/>
    <w:rsid w:val="60FD6901"/>
    <w:rsid w:val="60FEF0C0"/>
    <w:rsid w:val="61041019"/>
    <w:rsid w:val="611592DD"/>
    <w:rsid w:val="611C5F56"/>
    <w:rsid w:val="61409F41"/>
    <w:rsid w:val="6174D7F4"/>
    <w:rsid w:val="61817455"/>
    <w:rsid w:val="61B0DEA3"/>
    <w:rsid w:val="61B5389F"/>
    <w:rsid w:val="61C49A67"/>
    <w:rsid w:val="61CDC4D1"/>
    <w:rsid w:val="61F51F89"/>
    <w:rsid w:val="6202A1B2"/>
    <w:rsid w:val="62184B2B"/>
    <w:rsid w:val="62830B70"/>
    <w:rsid w:val="62D9269B"/>
    <w:rsid w:val="62E57694"/>
    <w:rsid w:val="62ED2245"/>
    <w:rsid w:val="6314254B"/>
    <w:rsid w:val="632B7569"/>
    <w:rsid w:val="634F7082"/>
    <w:rsid w:val="635B3F1F"/>
    <w:rsid w:val="635D6B95"/>
    <w:rsid w:val="6384D31B"/>
    <w:rsid w:val="639D0141"/>
    <w:rsid w:val="63D51E03"/>
    <w:rsid w:val="63F5125D"/>
    <w:rsid w:val="646103CA"/>
    <w:rsid w:val="64671E7E"/>
    <w:rsid w:val="64673DEF"/>
    <w:rsid w:val="647D7265"/>
    <w:rsid w:val="64822F8D"/>
    <w:rsid w:val="64A372CF"/>
    <w:rsid w:val="64A7BFD4"/>
    <w:rsid w:val="64E733E5"/>
    <w:rsid w:val="6511334E"/>
    <w:rsid w:val="6585EE31"/>
    <w:rsid w:val="65C664CD"/>
    <w:rsid w:val="664E45EE"/>
    <w:rsid w:val="6663084A"/>
    <w:rsid w:val="66727743"/>
    <w:rsid w:val="66872C1C"/>
    <w:rsid w:val="66C319A9"/>
    <w:rsid w:val="66DAAB9B"/>
    <w:rsid w:val="66F597B3"/>
    <w:rsid w:val="66FAC940"/>
    <w:rsid w:val="6720F904"/>
    <w:rsid w:val="67319F4C"/>
    <w:rsid w:val="6743BB06"/>
    <w:rsid w:val="6753BA73"/>
    <w:rsid w:val="6768ACAA"/>
    <w:rsid w:val="676B0603"/>
    <w:rsid w:val="6773EB0E"/>
    <w:rsid w:val="677EB057"/>
    <w:rsid w:val="67923EF2"/>
    <w:rsid w:val="679A6083"/>
    <w:rsid w:val="67B240E4"/>
    <w:rsid w:val="67B78B6C"/>
    <w:rsid w:val="67D769E0"/>
    <w:rsid w:val="67FDC39F"/>
    <w:rsid w:val="68062845"/>
    <w:rsid w:val="680B14F9"/>
    <w:rsid w:val="6836D0D4"/>
    <w:rsid w:val="685AF76E"/>
    <w:rsid w:val="6872FFFB"/>
    <w:rsid w:val="6879A454"/>
    <w:rsid w:val="68861817"/>
    <w:rsid w:val="688C0641"/>
    <w:rsid w:val="68ED464F"/>
    <w:rsid w:val="68FFF4CC"/>
    <w:rsid w:val="690CC323"/>
    <w:rsid w:val="6942971E"/>
    <w:rsid w:val="69460641"/>
    <w:rsid w:val="69C56DB9"/>
    <w:rsid w:val="69D18CDE"/>
    <w:rsid w:val="69F0AD9C"/>
    <w:rsid w:val="6A187738"/>
    <w:rsid w:val="6A3A54DF"/>
    <w:rsid w:val="6A45729E"/>
    <w:rsid w:val="6A820927"/>
    <w:rsid w:val="6A856572"/>
    <w:rsid w:val="6A893A1E"/>
    <w:rsid w:val="6A8E952E"/>
    <w:rsid w:val="6A973491"/>
    <w:rsid w:val="6AB6D7AB"/>
    <w:rsid w:val="6AB86314"/>
    <w:rsid w:val="6ABABEFC"/>
    <w:rsid w:val="6AD83D02"/>
    <w:rsid w:val="6AFBEEC2"/>
    <w:rsid w:val="6B11FA0A"/>
    <w:rsid w:val="6B256A17"/>
    <w:rsid w:val="6B45FEBD"/>
    <w:rsid w:val="6B48AAEF"/>
    <w:rsid w:val="6B558B59"/>
    <w:rsid w:val="6B83B6FB"/>
    <w:rsid w:val="6B8A19A7"/>
    <w:rsid w:val="6BA1D7D9"/>
    <w:rsid w:val="6BA74E91"/>
    <w:rsid w:val="6BAFEE24"/>
    <w:rsid w:val="6BB05C46"/>
    <w:rsid w:val="6BC06495"/>
    <w:rsid w:val="6BDB2FAC"/>
    <w:rsid w:val="6BFE8CA1"/>
    <w:rsid w:val="6C275B13"/>
    <w:rsid w:val="6C4C0EDE"/>
    <w:rsid w:val="6CBFFC3F"/>
    <w:rsid w:val="6CCF5EBD"/>
    <w:rsid w:val="6D07B225"/>
    <w:rsid w:val="6D3C88D4"/>
    <w:rsid w:val="6D4B5A4B"/>
    <w:rsid w:val="6D702927"/>
    <w:rsid w:val="6D8638C7"/>
    <w:rsid w:val="6D928189"/>
    <w:rsid w:val="6DA0E485"/>
    <w:rsid w:val="6DA76A21"/>
    <w:rsid w:val="6DB31BD3"/>
    <w:rsid w:val="6DCB64CF"/>
    <w:rsid w:val="6DFACCE0"/>
    <w:rsid w:val="6E02F794"/>
    <w:rsid w:val="6E0B177B"/>
    <w:rsid w:val="6E133F43"/>
    <w:rsid w:val="6E1B121F"/>
    <w:rsid w:val="6E2624E7"/>
    <w:rsid w:val="6E2D956B"/>
    <w:rsid w:val="6E354238"/>
    <w:rsid w:val="6ECA0C37"/>
    <w:rsid w:val="6ED1B6BC"/>
    <w:rsid w:val="6ED99543"/>
    <w:rsid w:val="6EDC46CA"/>
    <w:rsid w:val="6EF87383"/>
    <w:rsid w:val="6F2EBC45"/>
    <w:rsid w:val="6F74DF1F"/>
    <w:rsid w:val="6F91B76E"/>
    <w:rsid w:val="6F9E73B6"/>
    <w:rsid w:val="6FC98599"/>
    <w:rsid w:val="6FD1AEF0"/>
    <w:rsid w:val="703C4C31"/>
    <w:rsid w:val="7056A980"/>
    <w:rsid w:val="70609EA8"/>
    <w:rsid w:val="7070C53A"/>
    <w:rsid w:val="707356FC"/>
    <w:rsid w:val="70B36758"/>
    <w:rsid w:val="70B9B3E6"/>
    <w:rsid w:val="70DE2EDA"/>
    <w:rsid w:val="712D8A3A"/>
    <w:rsid w:val="7161FD3C"/>
    <w:rsid w:val="71775D6F"/>
    <w:rsid w:val="71CC76C6"/>
    <w:rsid w:val="71E08EA3"/>
    <w:rsid w:val="71FDE43E"/>
    <w:rsid w:val="71FFAFFA"/>
    <w:rsid w:val="720330BC"/>
    <w:rsid w:val="721EF5FB"/>
    <w:rsid w:val="72493D35"/>
    <w:rsid w:val="727629A8"/>
    <w:rsid w:val="727C8CE5"/>
    <w:rsid w:val="72A24FCC"/>
    <w:rsid w:val="73606493"/>
    <w:rsid w:val="73657221"/>
    <w:rsid w:val="73816DE4"/>
    <w:rsid w:val="7385F39B"/>
    <w:rsid w:val="73A8662F"/>
    <w:rsid w:val="73FD2850"/>
    <w:rsid w:val="7401BA3D"/>
    <w:rsid w:val="740C5BB9"/>
    <w:rsid w:val="74181A96"/>
    <w:rsid w:val="741A3EA4"/>
    <w:rsid w:val="742F73D1"/>
    <w:rsid w:val="745DB90C"/>
    <w:rsid w:val="74689AA0"/>
    <w:rsid w:val="7478F753"/>
    <w:rsid w:val="74C611E3"/>
    <w:rsid w:val="74C91D95"/>
    <w:rsid w:val="74DE0DF6"/>
    <w:rsid w:val="74DF9623"/>
    <w:rsid w:val="74F9E1F9"/>
    <w:rsid w:val="75069530"/>
    <w:rsid w:val="752079BF"/>
    <w:rsid w:val="75215B0A"/>
    <w:rsid w:val="752AE3A9"/>
    <w:rsid w:val="754B7FC8"/>
    <w:rsid w:val="759A8C95"/>
    <w:rsid w:val="75A229BA"/>
    <w:rsid w:val="75A2C469"/>
    <w:rsid w:val="75C0A3EF"/>
    <w:rsid w:val="75C5D168"/>
    <w:rsid w:val="75D56AC5"/>
    <w:rsid w:val="760E4F03"/>
    <w:rsid w:val="761B34A3"/>
    <w:rsid w:val="761F8391"/>
    <w:rsid w:val="762054FE"/>
    <w:rsid w:val="7635C6AF"/>
    <w:rsid w:val="763EC603"/>
    <w:rsid w:val="7664CEB1"/>
    <w:rsid w:val="76730EFB"/>
    <w:rsid w:val="7689D035"/>
    <w:rsid w:val="76A50B82"/>
    <w:rsid w:val="76B052CC"/>
    <w:rsid w:val="76B566FA"/>
    <w:rsid w:val="76B92456"/>
    <w:rsid w:val="76E747C1"/>
    <w:rsid w:val="76FAB3AD"/>
    <w:rsid w:val="76FB7481"/>
    <w:rsid w:val="773DE356"/>
    <w:rsid w:val="7743B132"/>
    <w:rsid w:val="7793C8E0"/>
    <w:rsid w:val="779666F4"/>
    <w:rsid w:val="77B1EDB5"/>
    <w:rsid w:val="77CF6D1C"/>
    <w:rsid w:val="77E27E5C"/>
    <w:rsid w:val="77F4EA06"/>
    <w:rsid w:val="77FAAE68"/>
    <w:rsid w:val="781295BB"/>
    <w:rsid w:val="781E97D6"/>
    <w:rsid w:val="78495BA3"/>
    <w:rsid w:val="78604777"/>
    <w:rsid w:val="788FB18C"/>
    <w:rsid w:val="7890D0A8"/>
    <w:rsid w:val="78A58D2B"/>
    <w:rsid w:val="78B64D3D"/>
    <w:rsid w:val="790A1256"/>
    <w:rsid w:val="790B3EC9"/>
    <w:rsid w:val="79183ED5"/>
    <w:rsid w:val="7924E127"/>
    <w:rsid w:val="7938D6C5"/>
    <w:rsid w:val="794200D2"/>
    <w:rsid w:val="7970E58C"/>
    <w:rsid w:val="799D745A"/>
    <w:rsid w:val="79E15BEB"/>
    <w:rsid w:val="79F6D2F3"/>
    <w:rsid w:val="7A071194"/>
    <w:rsid w:val="7A742CA3"/>
    <w:rsid w:val="7A7E8F5E"/>
    <w:rsid w:val="7ABC344F"/>
    <w:rsid w:val="7ADD789B"/>
    <w:rsid w:val="7B25D82E"/>
    <w:rsid w:val="7B305AAF"/>
    <w:rsid w:val="7B36BBC2"/>
    <w:rsid w:val="7B6D57B6"/>
    <w:rsid w:val="7B91A97B"/>
    <w:rsid w:val="7BA5F9C5"/>
    <w:rsid w:val="7BE5E2D2"/>
    <w:rsid w:val="7BF92C5C"/>
    <w:rsid w:val="7C1E7B52"/>
    <w:rsid w:val="7C745742"/>
    <w:rsid w:val="7C755317"/>
    <w:rsid w:val="7C94AFA8"/>
    <w:rsid w:val="7C99CCF9"/>
    <w:rsid w:val="7CDEF7DA"/>
    <w:rsid w:val="7CE6712D"/>
    <w:rsid w:val="7D0460E0"/>
    <w:rsid w:val="7D23C772"/>
    <w:rsid w:val="7D33D0E1"/>
    <w:rsid w:val="7D424960"/>
    <w:rsid w:val="7D598C0A"/>
    <w:rsid w:val="7D647479"/>
    <w:rsid w:val="7D749443"/>
    <w:rsid w:val="7D87332A"/>
    <w:rsid w:val="7D89377B"/>
    <w:rsid w:val="7DA5EA3D"/>
    <w:rsid w:val="7DAF29F2"/>
    <w:rsid w:val="7DB4B108"/>
    <w:rsid w:val="7DCCCFC4"/>
    <w:rsid w:val="7DDD94CA"/>
    <w:rsid w:val="7DEF32E0"/>
    <w:rsid w:val="7DFF3490"/>
    <w:rsid w:val="7E0154E8"/>
    <w:rsid w:val="7E015987"/>
    <w:rsid w:val="7E1094A7"/>
    <w:rsid w:val="7E1F5EEA"/>
    <w:rsid w:val="7E28073A"/>
    <w:rsid w:val="7E4647BC"/>
    <w:rsid w:val="7E49CEA4"/>
    <w:rsid w:val="7E52E67C"/>
    <w:rsid w:val="7E776B35"/>
    <w:rsid w:val="7EA17127"/>
    <w:rsid w:val="7EA3E763"/>
    <w:rsid w:val="7EBC520B"/>
    <w:rsid w:val="7EEBDFF8"/>
    <w:rsid w:val="7F11DDFA"/>
    <w:rsid w:val="7F220040"/>
    <w:rsid w:val="7F3A46A5"/>
    <w:rsid w:val="7F4DEE82"/>
    <w:rsid w:val="7F5633B4"/>
    <w:rsid w:val="7F778213"/>
    <w:rsid w:val="7F9971D2"/>
    <w:rsid w:val="7F9D8F9D"/>
    <w:rsid w:val="7FA28617"/>
    <w:rsid w:val="7FA9E01D"/>
    <w:rsid w:val="7FAD0DD9"/>
    <w:rsid w:val="7FF27A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58DA2"/>
  <w15:chartTrackingRefBased/>
  <w15:docId w15:val="{ED8C0DC7-D4B3-4DD2-85F6-91EB0283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9"/>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DDA"/>
    <w:qFormat/>
    <w:rsid w:val="002C7220"/>
    <w:pPr>
      <w:jc w:val="both"/>
    </w:pPr>
  </w:style>
  <w:style w:type="paragraph" w:styleId="Kop1">
    <w:name w:val="heading 1"/>
    <w:basedOn w:val="Standaard"/>
    <w:next w:val="Standaard"/>
    <w:link w:val="Kop1Char"/>
    <w:uiPriority w:val="9"/>
    <w:qFormat/>
    <w:rsid w:val="001A5A08"/>
    <w:pPr>
      <w:keepNext/>
      <w:keepLines/>
      <w:numPr>
        <w:numId w:val="11"/>
      </w:numPr>
      <w:spacing w:before="240"/>
      <w:outlineLvl w:val="0"/>
    </w:pPr>
    <w:rPr>
      <w:rFonts w:eastAsiaTheme="majorEastAsia" w:cstheme="majorBidi"/>
      <w:color w:val="6ABE93"/>
      <w:sz w:val="32"/>
      <w:szCs w:val="32"/>
    </w:rPr>
  </w:style>
  <w:style w:type="paragraph" w:styleId="Kop2">
    <w:name w:val="heading 2"/>
    <w:basedOn w:val="Standaard"/>
    <w:next w:val="Standaard"/>
    <w:link w:val="Kop2Char"/>
    <w:uiPriority w:val="9"/>
    <w:unhideWhenUsed/>
    <w:qFormat/>
    <w:rsid w:val="00F063DE"/>
    <w:pPr>
      <w:keepNext/>
      <w:keepLines/>
      <w:numPr>
        <w:ilvl w:val="1"/>
        <w:numId w:val="11"/>
      </w:numPr>
      <w:spacing w:before="40"/>
      <w:outlineLvl w:val="1"/>
    </w:pPr>
    <w:rPr>
      <w:rFonts w:eastAsiaTheme="majorEastAsia" w:cstheme="majorBidi"/>
      <w:color w:val="6ABE93"/>
      <w:sz w:val="24"/>
      <w:szCs w:val="26"/>
    </w:rPr>
  </w:style>
  <w:style w:type="paragraph" w:styleId="Kop3">
    <w:name w:val="heading 3"/>
    <w:basedOn w:val="Standaard"/>
    <w:next w:val="Standaard"/>
    <w:link w:val="Kop3Char"/>
    <w:uiPriority w:val="9"/>
    <w:unhideWhenUsed/>
    <w:qFormat/>
    <w:rsid w:val="00086C68"/>
    <w:pPr>
      <w:keepNext/>
      <w:keepLines/>
      <w:numPr>
        <w:ilvl w:val="2"/>
        <w:numId w:val="11"/>
      </w:numPr>
      <w:spacing w:before="40"/>
      <w:outlineLvl w:val="2"/>
    </w:pPr>
    <w:rPr>
      <w:rFonts w:eastAsiaTheme="majorEastAsia" w:cstheme="majorBidi"/>
      <w:color w:val="6ABE93"/>
      <w:sz w:val="22"/>
    </w:rPr>
  </w:style>
  <w:style w:type="paragraph" w:styleId="Kop4">
    <w:name w:val="heading 4"/>
    <w:basedOn w:val="Standaard"/>
    <w:next w:val="Standaard"/>
    <w:link w:val="Kop4Char"/>
    <w:uiPriority w:val="9"/>
    <w:semiHidden/>
    <w:unhideWhenUsed/>
    <w:qFormat/>
    <w:rsid w:val="001A5A08"/>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A5A08"/>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1A5A08"/>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1A5A08"/>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1A5A08"/>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A5A08"/>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 2"/>
    <w:uiPriority w:val="99"/>
    <w:qFormat/>
    <w:rsid w:val="00600FFB"/>
    <w:pPr>
      <w:spacing w:before="120" w:after="120"/>
      <w:jc w:val="both"/>
    </w:pPr>
    <w:rPr>
      <w:szCs w:val="20"/>
    </w:rPr>
  </w:style>
  <w:style w:type="character" w:customStyle="1" w:styleId="Kop1Char">
    <w:name w:val="Kop 1 Char"/>
    <w:basedOn w:val="Standaardalinea-lettertype"/>
    <w:link w:val="Kop1"/>
    <w:uiPriority w:val="9"/>
    <w:rsid w:val="001A5A08"/>
    <w:rPr>
      <w:rFonts w:eastAsiaTheme="majorEastAsia" w:cstheme="majorBidi"/>
      <w:color w:val="6ABE93"/>
      <w:sz w:val="32"/>
      <w:szCs w:val="32"/>
    </w:rPr>
  </w:style>
  <w:style w:type="paragraph" w:styleId="Inhopg1">
    <w:name w:val="toc 1"/>
    <w:basedOn w:val="Standaard"/>
    <w:next w:val="Standaard"/>
    <w:autoRedefine/>
    <w:uiPriority w:val="39"/>
    <w:unhideWhenUsed/>
    <w:rsid w:val="00ED6113"/>
    <w:pPr>
      <w:spacing w:before="240" w:after="120"/>
      <w:jc w:val="left"/>
    </w:pPr>
    <w:rPr>
      <w:rFonts w:cstheme="minorHAnsi"/>
      <w:b/>
      <w:bCs/>
      <w:szCs w:val="20"/>
    </w:rPr>
  </w:style>
  <w:style w:type="character" w:customStyle="1" w:styleId="Kop2Char">
    <w:name w:val="Kop 2 Char"/>
    <w:basedOn w:val="Standaardalinea-lettertype"/>
    <w:link w:val="Kop2"/>
    <w:uiPriority w:val="9"/>
    <w:rsid w:val="00F063DE"/>
    <w:rPr>
      <w:rFonts w:eastAsiaTheme="majorEastAsia" w:cstheme="majorBidi"/>
      <w:color w:val="6ABE93"/>
      <w:sz w:val="24"/>
      <w:szCs w:val="26"/>
    </w:rPr>
  </w:style>
  <w:style w:type="character" w:customStyle="1" w:styleId="Kop3Char">
    <w:name w:val="Kop 3 Char"/>
    <w:basedOn w:val="Standaardalinea-lettertype"/>
    <w:link w:val="Kop3"/>
    <w:uiPriority w:val="9"/>
    <w:rsid w:val="00086C68"/>
    <w:rPr>
      <w:rFonts w:eastAsiaTheme="majorEastAsia" w:cstheme="majorBidi"/>
      <w:color w:val="6ABE93"/>
      <w:sz w:val="22"/>
    </w:rPr>
  </w:style>
  <w:style w:type="character" w:customStyle="1" w:styleId="Kop4Char">
    <w:name w:val="Kop 4 Char"/>
    <w:basedOn w:val="Standaardalinea-lettertype"/>
    <w:link w:val="Kop4"/>
    <w:uiPriority w:val="9"/>
    <w:semiHidden/>
    <w:rsid w:val="001A5A08"/>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1A5A0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1A5A08"/>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1A5A08"/>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1A5A0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A5A08"/>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iPriority w:val="99"/>
    <w:unhideWhenUsed/>
    <w:rsid w:val="008008E2"/>
    <w:rPr>
      <w:color w:val="0563C1" w:themeColor="hyperlink"/>
      <w:u w:val="single"/>
    </w:rPr>
  </w:style>
  <w:style w:type="paragraph" w:styleId="Inhopg2">
    <w:name w:val="toc 2"/>
    <w:basedOn w:val="Standaard"/>
    <w:next w:val="Standaard"/>
    <w:autoRedefine/>
    <w:uiPriority w:val="39"/>
    <w:unhideWhenUsed/>
    <w:rsid w:val="00ED6113"/>
    <w:pPr>
      <w:spacing w:before="120"/>
      <w:ind w:left="190"/>
      <w:jc w:val="left"/>
    </w:pPr>
    <w:rPr>
      <w:rFonts w:cstheme="minorHAnsi"/>
      <w:i/>
      <w:iCs/>
      <w:szCs w:val="20"/>
    </w:rPr>
  </w:style>
  <w:style w:type="paragraph" w:styleId="Inhopg3">
    <w:name w:val="toc 3"/>
    <w:basedOn w:val="Standaard"/>
    <w:next w:val="Standaard"/>
    <w:autoRedefine/>
    <w:uiPriority w:val="39"/>
    <w:unhideWhenUsed/>
    <w:rsid w:val="00ED6113"/>
    <w:pPr>
      <w:ind w:left="380"/>
      <w:jc w:val="left"/>
    </w:pPr>
    <w:rPr>
      <w:rFonts w:cstheme="minorHAnsi"/>
      <w:szCs w:val="20"/>
    </w:rPr>
  </w:style>
  <w:style w:type="paragraph" w:styleId="Inhopg4">
    <w:name w:val="toc 4"/>
    <w:basedOn w:val="Standaard"/>
    <w:next w:val="Standaard"/>
    <w:autoRedefine/>
    <w:uiPriority w:val="39"/>
    <w:unhideWhenUsed/>
    <w:rsid w:val="00ED6113"/>
    <w:pPr>
      <w:ind w:left="570"/>
      <w:jc w:val="left"/>
    </w:pPr>
    <w:rPr>
      <w:rFonts w:cstheme="minorHAnsi"/>
      <w:szCs w:val="20"/>
    </w:rPr>
  </w:style>
  <w:style w:type="paragraph" w:styleId="Inhopg5">
    <w:name w:val="toc 5"/>
    <w:basedOn w:val="Standaard"/>
    <w:next w:val="Standaard"/>
    <w:autoRedefine/>
    <w:uiPriority w:val="39"/>
    <w:unhideWhenUsed/>
    <w:rsid w:val="00697A6F"/>
    <w:pPr>
      <w:ind w:left="760"/>
      <w:jc w:val="left"/>
    </w:pPr>
    <w:rPr>
      <w:rFonts w:asciiTheme="minorHAnsi" w:hAnsiTheme="minorHAnsi" w:cstheme="minorHAnsi"/>
      <w:sz w:val="20"/>
      <w:szCs w:val="20"/>
    </w:rPr>
  </w:style>
  <w:style w:type="paragraph" w:styleId="Inhopg6">
    <w:name w:val="toc 6"/>
    <w:basedOn w:val="Standaard"/>
    <w:next w:val="Standaard"/>
    <w:autoRedefine/>
    <w:uiPriority w:val="39"/>
    <w:unhideWhenUsed/>
    <w:rsid w:val="00697A6F"/>
    <w:pPr>
      <w:ind w:left="950"/>
      <w:jc w:val="left"/>
    </w:pPr>
    <w:rPr>
      <w:rFonts w:asciiTheme="minorHAnsi" w:hAnsiTheme="minorHAnsi" w:cstheme="minorHAnsi"/>
      <w:sz w:val="20"/>
      <w:szCs w:val="20"/>
    </w:rPr>
  </w:style>
  <w:style w:type="paragraph" w:styleId="Inhopg7">
    <w:name w:val="toc 7"/>
    <w:basedOn w:val="Standaard"/>
    <w:next w:val="Standaard"/>
    <w:autoRedefine/>
    <w:uiPriority w:val="39"/>
    <w:unhideWhenUsed/>
    <w:rsid w:val="00697A6F"/>
    <w:pPr>
      <w:ind w:left="1140"/>
      <w:jc w:val="left"/>
    </w:pPr>
    <w:rPr>
      <w:rFonts w:asciiTheme="minorHAnsi" w:hAnsiTheme="minorHAnsi" w:cstheme="minorHAnsi"/>
      <w:sz w:val="20"/>
      <w:szCs w:val="20"/>
    </w:rPr>
  </w:style>
  <w:style w:type="paragraph" w:styleId="Inhopg8">
    <w:name w:val="toc 8"/>
    <w:basedOn w:val="Standaard"/>
    <w:next w:val="Standaard"/>
    <w:autoRedefine/>
    <w:uiPriority w:val="39"/>
    <w:unhideWhenUsed/>
    <w:rsid w:val="00697A6F"/>
    <w:pPr>
      <w:ind w:left="1330"/>
      <w:jc w:val="left"/>
    </w:pPr>
    <w:rPr>
      <w:rFonts w:asciiTheme="minorHAnsi" w:hAnsiTheme="minorHAnsi" w:cstheme="minorHAnsi"/>
      <w:sz w:val="20"/>
      <w:szCs w:val="20"/>
    </w:rPr>
  </w:style>
  <w:style w:type="paragraph" w:styleId="Inhopg9">
    <w:name w:val="toc 9"/>
    <w:basedOn w:val="Standaard"/>
    <w:next w:val="Standaard"/>
    <w:autoRedefine/>
    <w:uiPriority w:val="39"/>
    <w:unhideWhenUsed/>
    <w:rsid w:val="00697A6F"/>
    <w:pPr>
      <w:ind w:left="1520"/>
      <w:jc w:val="left"/>
    </w:pPr>
    <w:rPr>
      <w:rFonts w:asciiTheme="minorHAnsi" w:hAnsiTheme="minorHAnsi" w:cstheme="minorHAnsi"/>
      <w:sz w:val="20"/>
      <w:szCs w:val="20"/>
    </w:rPr>
  </w:style>
  <w:style w:type="paragraph" w:styleId="Koptekst">
    <w:name w:val="header"/>
    <w:basedOn w:val="Standaard"/>
    <w:link w:val="KoptekstChar"/>
    <w:uiPriority w:val="99"/>
    <w:unhideWhenUsed/>
    <w:rsid w:val="00C42BFC"/>
    <w:pPr>
      <w:tabs>
        <w:tab w:val="center" w:pos="4536"/>
        <w:tab w:val="right" w:pos="9072"/>
      </w:tabs>
    </w:pPr>
  </w:style>
  <w:style w:type="character" w:customStyle="1" w:styleId="KoptekstChar">
    <w:name w:val="Koptekst Char"/>
    <w:basedOn w:val="Standaardalinea-lettertype"/>
    <w:link w:val="Koptekst"/>
    <w:uiPriority w:val="99"/>
    <w:rsid w:val="00C42BFC"/>
    <w:rPr>
      <w:rFonts w:ascii="Verdana" w:hAnsi="Verdana"/>
      <w:sz w:val="19"/>
    </w:rPr>
  </w:style>
  <w:style w:type="paragraph" w:styleId="Voettekst">
    <w:name w:val="footer"/>
    <w:basedOn w:val="Standaard"/>
    <w:link w:val="VoettekstChar"/>
    <w:uiPriority w:val="99"/>
    <w:unhideWhenUsed/>
    <w:rsid w:val="00C42BFC"/>
    <w:pPr>
      <w:tabs>
        <w:tab w:val="center" w:pos="4536"/>
        <w:tab w:val="right" w:pos="9072"/>
      </w:tabs>
    </w:pPr>
  </w:style>
  <w:style w:type="character" w:customStyle="1" w:styleId="VoettekstChar">
    <w:name w:val="Voettekst Char"/>
    <w:basedOn w:val="Standaardalinea-lettertype"/>
    <w:link w:val="Voettekst"/>
    <w:uiPriority w:val="99"/>
    <w:rsid w:val="00C42BFC"/>
    <w:rPr>
      <w:rFonts w:ascii="Verdana" w:hAnsi="Verdana"/>
      <w:sz w:val="19"/>
    </w:rPr>
  </w:style>
  <w:style w:type="character" w:styleId="Paginanummer">
    <w:name w:val="page number"/>
    <w:basedOn w:val="Standaardalinea-lettertype"/>
    <w:uiPriority w:val="99"/>
    <w:semiHidden/>
    <w:unhideWhenUsed/>
    <w:rsid w:val="00EE5D88"/>
  </w:style>
  <w:style w:type="paragraph" w:styleId="Lijstalinea">
    <w:name w:val="List Paragraph"/>
    <w:basedOn w:val="Standaard"/>
    <w:uiPriority w:val="99"/>
    <w:qFormat/>
    <w:rsid w:val="001C183C"/>
    <w:pPr>
      <w:ind w:left="720"/>
      <w:contextualSpacing/>
    </w:pPr>
  </w:style>
  <w:style w:type="table" w:styleId="Tabelraster">
    <w:name w:val="Table Grid"/>
    <w:basedOn w:val="Standaardtabel"/>
    <w:uiPriority w:val="99"/>
    <w:rsid w:val="00250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Standaard"/>
    <w:link w:val="Tabel1Char"/>
    <w:rsid w:val="00250315"/>
    <w:rPr>
      <w:rFonts w:cs="Calibri"/>
      <w:sz w:val="18"/>
      <w:szCs w:val="18"/>
    </w:rPr>
  </w:style>
  <w:style w:type="character" w:customStyle="1" w:styleId="Tabel1Char">
    <w:name w:val="Tabel 1 Char"/>
    <w:basedOn w:val="Standaardalinea-lettertype"/>
    <w:link w:val="Tabel1"/>
    <w:rsid w:val="00250315"/>
    <w:rPr>
      <w:rFonts w:ascii="Verdana" w:hAnsi="Verdana" w:cs="Calibri"/>
      <w:sz w:val="18"/>
      <w:szCs w:val="18"/>
    </w:rPr>
  </w:style>
  <w:style w:type="character" w:styleId="Onopgelostemelding">
    <w:name w:val="Unresolved Mention"/>
    <w:basedOn w:val="Standaardalinea-lettertype"/>
    <w:uiPriority w:val="99"/>
    <w:semiHidden/>
    <w:unhideWhenUsed/>
    <w:rsid w:val="003B3338"/>
    <w:rPr>
      <w:color w:val="605E5C"/>
      <w:shd w:val="clear" w:color="auto" w:fill="E1DFDD"/>
    </w:rPr>
  </w:style>
  <w:style w:type="paragraph" w:customStyle="1" w:styleId="Tabel10">
    <w:name w:val="Tabel1"/>
    <w:basedOn w:val="Standaard"/>
    <w:link w:val="Tabel1Char0"/>
    <w:qFormat/>
    <w:rsid w:val="005A66AA"/>
    <w:pPr>
      <w:jc w:val="left"/>
    </w:pPr>
    <w:rPr>
      <w:bCs/>
      <w:sz w:val="18"/>
      <w:szCs w:val="18"/>
    </w:rPr>
  </w:style>
  <w:style w:type="character" w:customStyle="1" w:styleId="Tabel1Char0">
    <w:name w:val="Tabel1 Char"/>
    <w:basedOn w:val="Standaardalinea-lettertype"/>
    <w:link w:val="Tabel10"/>
    <w:rsid w:val="005A66AA"/>
    <w:rPr>
      <w:rFonts w:ascii="Verdana" w:hAnsi="Verdana"/>
      <w:bCs/>
      <w:sz w:val="18"/>
      <w:szCs w:val="18"/>
    </w:rPr>
  </w:style>
  <w:style w:type="paragraph" w:styleId="Kopvaninhoudsopgave">
    <w:name w:val="TOC Heading"/>
    <w:basedOn w:val="Kop1"/>
    <w:next w:val="Standaard"/>
    <w:uiPriority w:val="39"/>
    <w:unhideWhenUsed/>
    <w:qFormat/>
    <w:rsid w:val="002D33EC"/>
    <w:pPr>
      <w:numPr>
        <w:numId w:val="0"/>
      </w:numPr>
      <w:spacing w:before="480" w:line="276" w:lineRule="auto"/>
      <w:jc w:val="left"/>
      <w:outlineLvl w:val="9"/>
    </w:pPr>
    <w:rPr>
      <w:rFonts w:asciiTheme="majorHAnsi" w:hAnsiTheme="majorHAnsi"/>
      <w:b/>
      <w:bCs/>
      <w:color w:val="2F5496" w:themeColor="accent1" w:themeShade="BF"/>
      <w:sz w:val="28"/>
      <w:szCs w:val="28"/>
      <w:lang w:eastAsia="nl-NL"/>
    </w:rPr>
  </w:style>
  <w:style w:type="character" w:styleId="Subtielebenadrukking">
    <w:name w:val="Subtle Emphasis"/>
    <w:basedOn w:val="Standaardalinea-lettertype"/>
    <w:uiPriority w:val="19"/>
    <w:qFormat/>
    <w:rsid w:val="00F6792D"/>
    <w:rPr>
      <w:rFonts w:ascii="Montserrat Light" w:hAnsi="Montserrat Light"/>
      <w:b w:val="0"/>
      <w:i w:val="0"/>
      <w:iCs/>
      <w:color w:val="404040" w:themeColor="text1" w:themeTint="BF"/>
    </w:rPr>
  </w:style>
  <w:style w:type="character" w:styleId="Tekstvantijdelijkeaanduiding">
    <w:name w:val="Placeholder Text"/>
    <w:basedOn w:val="Standaardalinea-lettertype"/>
    <w:uiPriority w:val="99"/>
    <w:semiHidden/>
    <w:rsid w:val="004435E4"/>
    <w:rPr>
      <w:color w:val="808080"/>
    </w:rPr>
  </w:style>
  <w:style w:type="character" w:customStyle="1" w:styleId="CommentReference">
    <w:name w:val="Comment Reference"/>
    <w:basedOn w:val="Standaardalinea-lettertype"/>
    <w:uiPriority w:val="99"/>
    <w:semiHidden/>
    <w:unhideWhenUsed/>
    <w:rsid w:val="0017297A"/>
    <w:rPr>
      <w:sz w:val="16"/>
      <w:szCs w:val="16"/>
    </w:rPr>
  </w:style>
  <w:style w:type="paragraph" w:customStyle="1" w:styleId="CommentText">
    <w:name w:val="Comment Text"/>
    <w:basedOn w:val="Standaard"/>
    <w:link w:val="CommentTextChar"/>
    <w:uiPriority w:val="99"/>
    <w:unhideWhenUsed/>
    <w:rsid w:val="0017297A"/>
    <w:rPr>
      <w:sz w:val="20"/>
      <w:szCs w:val="20"/>
    </w:rPr>
  </w:style>
  <w:style w:type="character" w:customStyle="1" w:styleId="CommentTextChar">
    <w:name w:val="Comment Text Char"/>
    <w:basedOn w:val="Standaardalinea-lettertype"/>
    <w:link w:val="CommentText"/>
    <w:uiPriority w:val="99"/>
    <w:rsid w:val="0017297A"/>
    <w:rPr>
      <w:rFonts w:ascii="Verdana" w:hAnsi="Verdana"/>
      <w:sz w:val="20"/>
      <w:szCs w:val="20"/>
    </w:rPr>
  </w:style>
  <w:style w:type="paragraph" w:customStyle="1" w:styleId="CommentSubject">
    <w:name w:val="Comment Subject"/>
    <w:basedOn w:val="CommentText"/>
    <w:next w:val="CommentText"/>
    <w:link w:val="CommentSubjectChar"/>
    <w:uiPriority w:val="99"/>
    <w:semiHidden/>
    <w:unhideWhenUsed/>
    <w:rsid w:val="0017297A"/>
    <w:rPr>
      <w:b/>
      <w:bCs/>
    </w:rPr>
  </w:style>
  <w:style w:type="character" w:customStyle="1" w:styleId="CommentSubjectChar">
    <w:name w:val="Comment Subject Char"/>
    <w:basedOn w:val="CommentTextChar"/>
    <w:link w:val="CommentSubject"/>
    <w:uiPriority w:val="99"/>
    <w:semiHidden/>
    <w:rsid w:val="0017297A"/>
    <w:rPr>
      <w:rFonts w:ascii="Verdana" w:hAnsi="Verdana"/>
      <w:b/>
      <w:bCs/>
      <w:sz w:val="20"/>
      <w:szCs w:val="20"/>
    </w:rPr>
  </w:style>
  <w:style w:type="character" w:styleId="GevolgdeHyperlink">
    <w:name w:val="FollowedHyperlink"/>
    <w:basedOn w:val="Standaardalinea-lettertype"/>
    <w:uiPriority w:val="99"/>
    <w:semiHidden/>
    <w:unhideWhenUsed/>
    <w:rsid w:val="00C35FE9"/>
    <w:rPr>
      <w:color w:val="954F72" w:themeColor="followedHyperlink"/>
      <w:u w:val="single"/>
    </w:rPr>
  </w:style>
  <w:style w:type="character" w:customStyle="1" w:styleId="ui-provider">
    <w:name w:val="ui-provider"/>
    <w:basedOn w:val="Standaardalinea-lettertype"/>
    <w:rsid w:val="00426275"/>
  </w:style>
  <w:style w:type="paragraph" w:styleId="Revisie">
    <w:name w:val="Revision"/>
    <w:hidden/>
    <w:uiPriority w:val="99"/>
    <w:semiHidden/>
    <w:rsid w:val="004A5BF3"/>
  </w:style>
  <w:style w:type="paragraph" w:customStyle="1" w:styleId="Default">
    <w:name w:val="Default"/>
    <w:rsid w:val="003157C0"/>
    <w:pPr>
      <w:autoSpaceDE w:val="0"/>
      <w:autoSpaceDN w:val="0"/>
      <w:adjustRightInd w:val="0"/>
    </w:pPr>
    <w:rPr>
      <w:rFonts w:ascii="Calibri" w:hAnsi="Calibri" w:cs="Calibri"/>
      <w:color w:val="000000"/>
      <w:sz w:val="24"/>
    </w:rPr>
  </w:style>
  <w:style w:type="paragraph" w:styleId="Normaalweb">
    <w:name w:val="Normal (Web)"/>
    <w:basedOn w:val="Standaard"/>
    <w:uiPriority w:val="99"/>
    <w:semiHidden/>
    <w:unhideWhenUsed/>
    <w:rsid w:val="00870483"/>
    <w:pPr>
      <w:spacing w:before="100" w:beforeAutospacing="1" w:after="100" w:afterAutospacing="1"/>
      <w:jc w:val="left"/>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9592">
      <w:bodyDiv w:val="1"/>
      <w:marLeft w:val="0"/>
      <w:marRight w:val="0"/>
      <w:marTop w:val="0"/>
      <w:marBottom w:val="0"/>
      <w:divBdr>
        <w:top w:val="none" w:sz="0" w:space="0" w:color="auto"/>
        <w:left w:val="none" w:sz="0" w:space="0" w:color="auto"/>
        <w:bottom w:val="none" w:sz="0" w:space="0" w:color="auto"/>
        <w:right w:val="none" w:sz="0" w:space="0" w:color="auto"/>
      </w:divBdr>
    </w:div>
    <w:div w:id="134034541">
      <w:bodyDiv w:val="1"/>
      <w:marLeft w:val="0"/>
      <w:marRight w:val="0"/>
      <w:marTop w:val="0"/>
      <w:marBottom w:val="0"/>
      <w:divBdr>
        <w:top w:val="none" w:sz="0" w:space="0" w:color="auto"/>
        <w:left w:val="none" w:sz="0" w:space="0" w:color="auto"/>
        <w:bottom w:val="none" w:sz="0" w:space="0" w:color="auto"/>
        <w:right w:val="none" w:sz="0" w:space="0" w:color="auto"/>
      </w:divBdr>
    </w:div>
    <w:div w:id="188030832">
      <w:bodyDiv w:val="1"/>
      <w:marLeft w:val="0"/>
      <w:marRight w:val="0"/>
      <w:marTop w:val="0"/>
      <w:marBottom w:val="0"/>
      <w:divBdr>
        <w:top w:val="none" w:sz="0" w:space="0" w:color="auto"/>
        <w:left w:val="none" w:sz="0" w:space="0" w:color="auto"/>
        <w:bottom w:val="none" w:sz="0" w:space="0" w:color="auto"/>
        <w:right w:val="none" w:sz="0" w:space="0" w:color="auto"/>
      </w:divBdr>
    </w:div>
    <w:div w:id="331883247">
      <w:bodyDiv w:val="1"/>
      <w:marLeft w:val="0"/>
      <w:marRight w:val="0"/>
      <w:marTop w:val="0"/>
      <w:marBottom w:val="0"/>
      <w:divBdr>
        <w:top w:val="none" w:sz="0" w:space="0" w:color="auto"/>
        <w:left w:val="none" w:sz="0" w:space="0" w:color="auto"/>
        <w:bottom w:val="none" w:sz="0" w:space="0" w:color="auto"/>
        <w:right w:val="none" w:sz="0" w:space="0" w:color="auto"/>
      </w:divBdr>
    </w:div>
    <w:div w:id="345787313">
      <w:bodyDiv w:val="1"/>
      <w:marLeft w:val="0"/>
      <w:marRight w:val="0"/>
      <w:marTop w:val="0"/>
      <w:marBottom w:val="0"/>
      <w:divBdr>
        <w:top w:val="none" w:sz="0" w:space="0" w:color="auto"/>
        <w:left w:val="none" w:sz="0" w:space="0" w:color="auto"/>
        <w:bottom w:val="none" w:sz="0" w:space="0" w:color="auto"/>
        <w:right w:val="none" w:sz="0" w:space="0" w:color="auto"/>
      </w:divBdr>
    </w:div>
    <w:div w:id="390424977">
      <w:bodyDiv w:val="1"/>
      <w:marLeft w:val="0"/>
      <w:marRight w:val="0"/>
      <w:marTop w:val="0"/>
      <w:marBottom w:val="0"/>
      <w:divBdr>
        <w:top w:val="none" w:sz="0" w:space="0" w:color="auto"/>
        <w:left w:val="none" w:sz="0" w:space="0" w:color="auto"/>
        <w:bottom w:val="none" w:sz="0" w:space="0" w:color="auto"/>
        <w:right w:val="none" w:sz="0" w:space="0" w:color="auto"/>
      </w:divBdr>
    </w:div>
    <w:div w:id="431584445">
      <w:bodyDiv w:val="1"/>
      <w:marLeft w:val="0"/>
      <w:marRight w:val="0"/>
      <w:marTop w:val="0"/>
      <w:marBottom w:val="0"/>
      <w:divBdr>
        <w:top w:val="none" w:sz="0" w:space="0" w:color="auto"/>
        <w:left w:val="none" w:sz="0" w:space="0" w:color="auto"/>
        <w:bottom w:val="none" w:sz="0" w:space="0" w:color="auto"/>
        <w:right w:val="none" w:sz="0" w:space="0" w:color="auto"/>
      </w:divBdr>
    </w:div>
    <w:div w:id="562565185">
      <w:bodyDiv w:val="1"/>
      <w:marLeft w:val="0"/>
      <w:marRight w:val="0"/>
      <w:marTop w:val="0"/>
      <w:marBottom w:val="0"/>
      <w:divBdr>
        <w:top w:val="none" w:sz="0" w:space="0" w:color="auto"/>
        <w:left w:val="none" w:sz="0" w:space="0" w:color="auto"/>
        <w:bottom w:val="none" w:sz="0" w:space="0" w:color="auto"/>
        <w:right w:val="none" w:sz="0" w:space="0" w:color="auto"/>
      </w:divBdr>
    </w:div>
    <w:div w:id="633482435">
      <w:bodyDiv w:val="1"/>
      <w:marLeft w:val="0"/>
      <w:marRight w:val="0"/>
      <w:marTop w:val="0"/>
      <w:marBottom w:val="0"/>
      <w:divBdr>
        <w:top w:val="none" w:sz="0" w:space="0" w:color="auto"/>
        <w:left w:val="none" w:sz="0" w:space="0" w:color="auto"/>
        <w:bottom w:val="none" w:sz="0" w:space="0" w:color="auto"/>
        <w:right w:val="none" w:sz="0" w:space="0" w:color="auto"/>
      </w:divBdr>
    </w:div>
    <w:div w:id="682246885">
      <w:bodyDiv w:val="1"/>
      <w:marLeft w:val="0"/>
      <w:marRight w:val="0"/>
      <w:marTop w:val="0"/>
      <w:marBottom w:val="0"/>
      <w:divBdr>
        <w:top w:val="none" w:sz="0" w:space="0" w:color="auto"/>
        <w:left w:val="none" w:sz="0" w:space="0" w:color="auto"/>
        <w:bottom w:val="none" w:sz="0" w:space="0" w:color="auto"/>
        <w:right w:val="none" w:sz="0" w:space="0" w:color="auto"/>
      </w:divBdr>
    </w:div>
    <w:div w:id="682248755">
      <w:bodyDiv w:val="1"/>
      <w:marLeft w:val="0"/>
      <w:marRight w:val="0"/>
      <w:marTop w:val="0"/>
      <w:marBottom w:val="0"/>
      <w:divBdr>
        <w:top w:val="none" w:sz="0" w:space="0" w:color="auto"/>
        <w:left w:val="none" w:sz="0" w:space="0" w:color="auto"/>
        <w:bottom w:val="none" w:sz="0" w:space="0" w:color="auto"/>
        <w:right w:val="none" w:sz="0" w:space="0" w:color="auto"/>
      </w:divBdr>
    </w:div>
    <w:div w:id="780147549">
      <w:bodyDiv w:val="1"/>
      <w:marLeft w:val="0"/>
      <w:marRight w:val="0"/>
      <w:marTop w:val="0"/>
      <w:marBottom w:val="0"/>
      <w:divBdr>
        <w:top w:val="none" w:sz="0" w:space="0" w:color="auto"/>
        <w:left w:val="none" w:sz="0" w:space="0" w:color="auto"/>
        <w:bottom w:val="none" w:sz="0" w:space="0" w:color="auto"/>
        <w:right w:val="none" w:sz="0" w:space="0" w:color="auto"/>
      </w:divBdr>
    </w:div>
    <w:div w:id="892237438">
      <w:bodyDiv w:val="1"/>
      <w:marLeft w:val="0"/>
      <w:marRight w:val="0"/>
      <w:marTop w:val="0"/>
      <w:marBottom w:val="0"/>
      <w:divBdr>
        <w:top w:val="none" w:sz="0" w:space="0" w:color="auto"/>
        <w:left w:val="none" w:sz="0" w:space="0" w:color="auto"/>
        <w:bottom w:val="none" w:sz="0" w:space="0" w:color="auto"/>
        <w:right w:val="none" w:sz="0" w:space="0" w:color="auto"/>
      </w:divBdr>
    </w:div>
    <w:div w:id="900945693">
      <w:bodyDiv w:val="1"/>
      <w:marLeft w:val="0"/>
      <w:marRight w:val="0"/>
      <w:marTop w:val="0"/>
      <w:marBottom w:val="0"/>
      <w:divBdr>
        <w:top w:val="none" w:sz="0" w:space="0" w:color="auto"/>
        <w:left w:val="none" w:sz="0" w:space="0" w:color="auto"/>
        <w:bottom w:val="none" w:sz="0" w:space="0" w:color="auto"/>
        <w:right w:val="none" w:sz="0" w:space="0" w:color="auto"/>
      </w:divBdr>
    </w:div>
    <w:div w:id="1082412109">
      <w:bodyDiv w:val="1"/>
      <w:marLeft w:val="0"/>
      <w:marRight w:val="0"/>
      <w:marTop w:val="0"/>
      <w:marBottom w:val="0"/>
      <w:divBdr>
        <w:top w:val="none" w:sz="0" w:space="0" w:color="auto"/>
        <w:left w:val="none" w:sz="0" w:space="0" w:color="auto"/>
        <w:bottom w:val="none" w:sz="0" w:space="0" w:color="auto"/>
        <w:right w:val="none" w:sz="0" w:space="0" w:color="auto"/>
      </w:divBdr>
    </w:div>
    <w:div w:id="1160854648">
      <w:bodyDiv w:val="1"/>
      <w:marLeft w:val="0"/>
      <w:marRight w:val="0"/>
      <w:marTop w:val="0"/>
      <w:marBottom w:val="0"/>
      <w:divBdr>
        <w:top w:val="none" w:sz="0" w:space="0" w:color="auto"/>
        <w:left w:val="none" w:sz="0" w:space="0" w:color="auto"/>
        <w:bottom w:val="none" w:sz="0" w:space="0" w:color="auto"/>
        <w:right w:val="none" w:sz="0" w:space="0" w:color="auto"/>
      </w:divBdr>
    </w:div>
    <w:div w:id="1224948217">
      <w:bodyDiv w:val="1"/>
      <w:marLeft w:val="0"/>
      <w:marRight w:val="0"/>
      <w:marTop w:val="0"/>
      <w:marBottom w:val="0"/>
      <w:divBdr>
        <w:top w:val="none" w:sz="0" w:space="0" w:color="auto"/>
        <w:left w:val="none" w:sz="0" w:space="0" w:color="auto"/>
        <w:bottom w:val="none" w:sz="0" w:space="0" w:color="auto"/>
        <w:right w:val="none" w:sz="0" w:space="0" w:color="auto"/>
      </w:divBdr>
    </w:div>
    <w:div w:id="1319267944">
      <w:bodyDiv w:val="1"/>
      <w:marLeft w:val="0"/>
      <w:marRight w:val="0"/>
      <w:marTop w:val="0"/>
      <w:marBottom w:val="0"/>
      <w:divBdr>
        <w:top w:val="none" w:sz="0" w:space="0" w:color="auto"/>
        <w:left w:val="none" w:sz="0" w:space="0" w:color="auto"/>
        <w:bottom w:val="none" w:sz="0" w:space="0" w:color="auto"/>
        <w:right w:val="none" w:sz="0" w:space="0" w:color="auto"/>
      </w:divBdr>
    </w:div>
    <w:div w:id="1600455373">
      <w:bodyDiv w:val="1"/>
      <w:marLeft w:val="0"/>
      <w:marRight w:val="0"/>
      <w:marTop w:val="0"/>
      <w:marBottom w:val="0"/>
      <w:divBdr>
        <w:top w:val="none" w:sz="0" w:space="0" w:color="auto"/>
        <w:left w:val="none" w:sz="0" w:space="0" w:color="auto"/>
        <w:bottom w:val="none" w:sz="0" w:space="0" w:color="auto"/>
        <w:right w:val="none" w:sz="0" w:space="0" w:color="auto"/>
      </w:divBdr>
    </w:div>
    <w:div w:id="1643387827">
      <w:bodyDiv w:val="1"/>
      <w:marLeft w:val="0"/>
      <w:marRight w:val="0"/>
      <w:marTop w:val="0"/>
      <w:marBottom w:val="0"/>
      <w:divBdr>
        <w:top w:val="none" w:sz="0" w:space="0" w:color="auto"/>
        <w:left w:val="none" w:sz="0" w:space="0" w:color="auto"/>
        <w:bottom w:val="none" w:sz="0" w:space="0" w:color="auto"/>
        <w:right w:val="none" w:sz="0" w:space="0" w:color="auto"/>
      </w:divBdr>
    </w:div>
    <w:div w:id="1670021106">
      <w:bodyDiv w:val="1"/>
      <w:marLeft w:val="0"/>
      <w:marRight w:val="0"/>
      <w:marTop w:val="0"/>
      <w:marBottom w:val="0"/>
      <w:divBdr>
        <w:top w:val="none" w:sz="0" w:space="0" w:color="auto"/>
        <w:left w:val="none" w:sz="0" w:space="0" w:color="auto"/>
        <w:bottom w:val="none" w:sz="0" w:space="0" w:color="auto"/>
        <w:right w:val="none" w:sz="0" w:space="0" w:color="auto"/>
      </w:divBdr>
    </w:div>
    <w:div w:id="1755274043">
      <w:bodyDiv w:val="1"/>
      <w:marLeft w:val="0"/>
      <w:marRight w:val="0"/>
      <w:marTop w:val="0"/>
      <w:marBottom w:val="0"/>
      <w:divBdr>
        <w:top w:val="none" w:sz="0" w:space="0" w:color="auto"/>
        <w:left w:val="none" w:sz="0" w:space="0" w:color="auto"/>
        <w:bottom w:val="none" w:sz="0" w:space="0" w:color="auto"/>
        <w:right w:val="none" w:sz="0" w:space="0" w:color="auto"/>
      </w:divBdr>
    </w:div>
    <w:div w:id="1885557822">
      <w:bodyDiv w:val="1"/>
      <w:marLeft w:val="0"/>
      <w:marRight w:val="0"/>
      <w:marTop w:val="0"/>
      <w:marBottom w:val="0"/>
      <w:divBdr>
        <w:top w:val="none" w:sz="0" w:space="0" w:color="auto"/>
        <w:left w:val="none" w:sz="0" w:space="0" w:color="auto"/>
        <w:bottom w:val="none" w:sz="0" w:space="0" w:color="auto"/>
        <w:right w:val="none" w:sz="0" w:space="0" w:color="auto"/>
      </w:divBdr>
    </w:div>
    <w:div w:id="2018144228">
      <w:bodyDiv w:val="1"/>
      <w:marLeft w:val="0"/>
      <w:marRight w:val="0"/>
      <w:marTop w:val="0"/>
      <w:marBottom w:val="0"/>
      <w:divBdr>
        <w:top w:val="none" w:sz="0" w:space="0" w:color="auto"/>
        <w:left w:val="none" w:sz="0" w:space="0" w:color="auto"/>
        <w:bottom w:val="none" w:sz="0" w:space="0" w:color="auto"/>
        <w:right w:val="none" w:sz="0" w:space="0" w:color="auto"/>
      </w:divBdr>
    </w:div>
    <w:div w:id="2046520758">
      <w:bodyDiv w:val="1"/>
      <w:marLeft w:val="0"/>
      <w:marRight w:val="0"/>
      <w:marTop w:val="0"/>
      <w:marBottom w:val="0"/>
      <w:divBdr>
        <w:top w:val="none" w:sz="0" w:space="0" w:color="auto"/>
        <w:left w:val="none" w:sz="0" w:space="0" w:color="auto"/>
        <w:bottom w:val="none" w:sz="0" w:space="0" w:color="auto"/>
        <w:right w:val="none" w:sz="0" w:space="0" w:color="auto"/>
      </w:divBdr>
    </w:div>
    <w:div w:id="2082482396">
      <w:bodyDiv w:val="1"/>
      <w:marLeft w:val="0"/>
      <w:marRight w:val="0"/>
      <w:marTop w:val="0"/>
      <w:marBottom w:val="0"/>
      <w:divBdr>
        <w:top w:val="none" w:sz="0" w:space="0" w:color="auto"/>
        <w:left w:val="none" w:sz="0" w:space="0" w:color="auto"/>
        <w:bottom w:val="none" w:sz="0" w:space="0" w:color="auto"/>
        <w:right w:val="none" w:sz="0" w:space="0" w:color="auto"/>
      </w:divBdr>
    </w:div>
    <w:div w:id="20975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co2emissiefactoren.nl" TargetMode="External"/><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o2emissiefactoren.nl" TargetMode="External"/><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3C3B8017517419EBE6A1D02657E8B" ma:contentTypeVersion="3" ma:contentTypeDescription="Een nieuw document maken." ma:contentTypeScope="" ma:versionID="c96e111d0b974c6e9445de4c1a7feff3">
  <xsd:schema xmlns:xsd="http://www.w3.org/2001/XMLSchema" xmlns:xs="http://www.w3.org/2001/XMLSchema" xmlns:p="http://schemas.microsoft.com/office/2006/metadata/properties" xmlns:ns2="2eeb977f-a07b-4bb6-9d46-763b9898c0b8" targetNamespace="http://schemas.microsoft.com/office/2006/metadata/properties" ma:root="true" ma:fieldsID="81a866a6342a716ba7d5a8535162fbf4" ns2:_="">
    <xsd:import namespace="2eeb977f-a07b-4bb6-9d46-763b9898c0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b977f-a07b-4bb6-9d46-763b9898c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79E9-89C1-4C3E-9782-0F13710BA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977f-a07b-4bb6-9d46-763b9898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AB61C-BDBD-724D-A14F-DBC669404148}">
  <ds:schemaRefs>
    <ds:schemaRef ds:uri="http://schemas.openxmlformats.org/officeDocument/2006/bibliography"/>
  </ds:schemaRefs>
</ds:datastoreItem>
</file>

<file path=customXml/itemProps3.xml><?xml version="1.0" encoding="utf-8"?>
<ds:datastoreItem xmlns:ds="http://schemas.openxmlformats.org/officeDocument/2006/customXml" ds:itemID="{01EAD586-2525-4E2B-8A41-CEB620ED8E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9B92C-A668-41C0-9704-1EC31CF82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8298</Words>
  <Characters>45645</Characters>
  <Application>Microsoft Office Word</Application>
  <DocSecurity>0</DocSecurity>
  <Lines>380</Lines>
  <Paragraphs>107</Paragraphs>
  <ScaleCrop>false</ScaleCrop>
  <Company/>
  <LinksUpToDate>false</LinksUpToDate>
  <CharactersWithSpaces>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CO2-Managementplan</dc:title>
  <dc:subject/>
  <dc:creator>Guus de Jong</dc:creator>
  <cp:keywords/>
  <dc:description/>
  <cp:lastModifiedBy>Jelmer Tiebosch | Finovi</cp:lastModifiedBy>
  <cp:revision>152</cp:revision>
  <dcterms:created xsi:type="dcterms:W3CDTF">2026-03-05T23:39:00Z</dcterms:created>
  <dcterms:modified xsi:type="dcterms:W3CDTF">2026-06-11T05:57:00Z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0x010100BAD3C3B8017517419EBE6A1D02657E8B</vt:lpwstr>
  </property>
  <property fmtid="{D5CDD505-2E9C-101B-9397-08002B2CF9AE}" pid="3" name="MediaServiceImageTags">
    <vt:lpwstr/>
  </property>
  <property fmtid="{D5CDD505-2E9C-101B-9397-08002B2CF9AE}" pid="4" name="docLang">
    <vt:lpwstr>nl</vt:lpwstr>
  </property>
</Properties>
</file>